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58" w:rsidRPr="008A3592" w:rsidRDefault="00CB1358" w:rsidP="00EE4309">
      <w:pPr>
        <w:jc w:val="both"/>
        <w:rPr>
          <w:rFonts w:ascii="Arial" w:hAnsi="Arial" w:cs="Arial"/>
          <w:b/>
          <w:sz w:val="28"/>
          <w:szCs w:val="28"/>
        </w:rPr>
      </w:pPr>
      <w:bookmarkStart w:id="0" w:name="_GoBack"/>
      <w:bookmarkEnd w:id="0"/>
      <w:r w:rsidRPr="008A3592">
        <w:rPr>
          <w:rFonts w:ascii="Arial" w:hAnsi="Arial" w:cs="Arial"/>
          <w:b/>
          <w:sz w:val="28"/>
          <w:szCs w:val="28"/>
        </w:rPr>
        <w:t xml:space="preserve">COMMONWEALTLH OF THE BAHAMAS </w:t>
      </w:r>
      <w:r w:rsidR="008A3592">
        <w:rPr>
          <w:rFonts w:ascii="Arial" w:hAnsi="Arial" w:cs="Arial"/>
          <w:b/>
          <w:sz w:val="28"/>
          <w:szCs w:val="28"/>
        </w:rPr>
        <w:t xml:space="preserve">               </w:t>
      </w:r>
      <w:r w:rsidR="008A3592" w:rsidRPr="008A3592">
        <w:rPr>
          <w:rFonts w:ascii="Arial" w:hAnsi="Arial" w:cs="Arial"/>
          <w:b/>
          <w:sz w:val="28"/>
          <w:szCs w:val="28"/>
        </w:rPr>
        <w:t>CRI/</w:t>
      </w:r>
      <w:proofErr w:type="spellStart"/>
      <w:r w:rsidR="008A3592" w:rsidRPr="008A3592">
        <w:rPr>
          <w:rFonts w:ascii="Arial" w:hAnsi="Arial" w:cs="Arial"/>
          <w:b/>
          <w:sz w:val="28"/>
          <w:szCs w:val="28"/>
        </w:rPr>
        <w:t>vbi</w:t>
      </w:r>
      <w:proofErr w:type="spellEnd"/>
      <w:r w:rsidR="008A3592" w:rsidRPr="008A3592">
        <w:rPr>
          <w:rFonts w:ascii="Arial" w:hAnsi="Arial" w:cs="Arial"/>
          <w:b/>
          <w:sz w:val="28"/>
          <w:szCs w:val="28"/>
        </w:rPr>
        <w:t>/203/10/2019</w:t>
      </w:r>
      <w:r w:rsidRPr="008A3592">
        <w:rPr>
          <w:rFonts w:ascii="Arial" w:hAnsi="Arial" w:cs="Arial"/>
          <w:b/>
          <w:sz w:val="28"/>
          <w:szCs w:val="28"/>
        </w:rPr>
        <w:t xml:space="preserve">  </w:t>
      </w:r>
      <w:r w:rsidRPr="008A3592">
        <w:rPr>
          <w:rFonts w:ascii="Arial" w:hAnsi="Arial" w:cs="Arial"/>
          <w:b/>
          <w:sz w:val="28"/>
          <w:szCs w:val="28"/>
        </w:rPr>
        <w:tab/>
      </w:r>
      <w:r w:rsidR="008A3592">
        <w:rPr>
          <w:rFonts w:ascii="Arial" w:hAnsi="Arial" w:cs="Arial"/>
          <w:b/>
          <w:sz w:val="28"/>
          <w:szCs w:val="28"/>
        </w:rPr>
        <w:t xml:space="preserve">                    </w:t>
      </w:r>
    </w:p>
    <w:p w:rsidR="00CB1358" w:rsidRPr="008A3592" w:rsidRDefault="00CB1358" w:rsidP="00EE4309">
      <w:pPr>
        <w:jc w:val="both"/>
        <w:rPr>
          <w:rFonts w:ascii="Arial" w:hAnsi="Arial" w:cs="Arial"/>
          <w:b/>
          <w:sz w:val="28"/>
          <w:szCs w:val="28"/>
        </w:rPr>
      </w:pPr>
      <w:r w:rsidRPr="008A3592">
        <w:rPr>
          <w:rFonts w:ascii="Arial" w:hAnsi="Arial" w:cs="Arial"/>
          <w:b/>
          <w:sz w:val="28"/>
          <w:szCs w:val="28"/>
        </w:rPr>
        <w:t>IN THE SUPEME COURT</w:t>
      </w:r>
    </w:p>
    <w:p w:rsidR="008313EC" w:rsidRPr="008A3592" w:rsidRDefault="00CB1358" w:rsidP="00EE4309">
      <w:pPr>
        <w:jc w:val="both"/>
        <w:rPr>
          <w:rFonts w:ascii="Arial" w:hAnsi="Arial" w:cs="Arial"/>
          <w:b/>
          <w:sz w:val="28"/>
          <w:szCs w:val="28"/>
        </w:rPr>
      </w:pPr>
      <w:r w:rsidRPr="008A3592">
        <w:rPr>
          <w:rFonts w:ascii="Arial" w:hAnsi="Arial" w:cs="Arial"/>
          <w:b/>
          <w:sz w:val="28"/>
          <w:szCs w:val="28"/>
        </w:rPr>
        <w:t>Criminal Division</w:t>
      </w:r>
      <w:r w:rsidRPr="008A3592">
        <w:rPr>
          <w:rFonts w:ascii="Arial" w:hAnsi="Arial" w:cs="Arial"/>
          <w:b/>
          <w:sz w:val="28"/>
          <w:szCs w:val="28"/>
        </w:rPr>
        <w:tab/>
      </w:r>
    </w:p>
    <w:p w:rsidR="00CB1358" w:rsidRPr="008A3592" w:rsidRDefault="00CB1358" w:rsidP="00EE4309">
      <w:pPr>
        <w:jc w:val="both"/>
        <w:rPr>
          <w:rFonts w:ascii="Arial" w:hAnsi="Arial" w:cs="Arial"/>
          <w:b/>
          <w:sz w:val="28"/>
          <w:szCs w:val="28"/>
        </w:rPr>
      </w:pPr>
      <w:r w:rsidRPr="008A3592">
        <w:rPr>
          <w:rFonts w:ascii="Arial" w:hAnsi="Arial" w:cs="Arial"/>
          <w:b/>
          <w:sz w:val="28"/>
          <w:szCs w:val="28"/>
        </w:rPr>
        <w:t xml:space="preserve">B E T W E </w:t>
      </w:r>
      <w:proofErr w:type="spellStart"/>
      <w:r w:rsidRPr="008A3592">
        <w:rPr>
          <w:rFonts w:ascii="Arial" w:hAnsi="Arial" w:cs="Arial"/>
          <w:b/>
          <w:sz w:val="28"/>
          <w:szCs w:val="28"/>
        </w:rPr>
        <w:t>E</w:t>
      </w:r>
      <w:proofErr w:type="spellEnd"/>
      <w:r w:rsidRPr="008A3592">
        <w:rPr>
          <w:rFonts w:ascii="Arial" w:hAnsi="Arial" w:cs="Arial"/>
          <w:b/>
          <w:sz w:val="28"/>
          <w:szCs w:val="28"/>
        </w:rPr>
        <w:t xml:space="preserve"> N</w:t>
      </w:r>
    </w:p>
    <w:p w:rsidR="00CB1358" w:rsidRPr="0093361F" w:rsidRDefault="00CB1358" w:rsidP="00EE4309">
      <w:pPr>
        <w:jc w:val="both"/>
        <w:rPr>
          <w:rFonts w:ascii="Arial" w:hAnsi="Arial" w:cs="Arial"/>
          <w:b/>
          <w:sz w:val="24"/>
          <w:szCs w:val="24"/>
        </w:rPr>
      </w:pPr>
    </w:p>
    <w:p w:rsidR="00CB1358" w:rsidRPr="0093361F" w:rsidRDefault="001C7F73" w:rsidP="001C7F73">
      <w:pPr>
        <w:tabs>
          <w:tab w:val="left" w:pos="2530"/>
          <w:tab w:val="center" w:pos="4680"/>
        </w:tabs>
        <w:rPr>
          <w:rFonts w:ascii="Arial" w:hAnsi="Arial" w:cs="Arial"/>
          <w:b/>
          <w:sz w:val="40"/>
          <w:szCs w:val="40"/>
        </w:rPr>
      </w:pPr>
      <w:r w:rsidRPr="0093361F">
        <w:rPr>
          <w:rFonts w:ascii="Arial" w:hAnsi="Arial" w:cs="Arial"/>
          <w:b/>
          <w:sz w:val="36"/>
          <w:szCs w:val="36"/>
        </w:rPr>
        <w:tab/>
      </w:r>
      <w:r w:rsidRPr="0093361F">
        <w:rPr>
          <w:rFonts w:ascii="Arial" w:hAnsi="Arial" w:cs="Arial"/>
          <w:b/>
          <w:sz w:val="36"/>
          <w:szCs w:val="36"/>
        </w:rPr>
        <w:tab/>
      </w:r>
      <w:r w:rsidR="00CB1358" w:rsidRPr="0093361F">
        <w:rPr>
          <w:rFonts w:ascii="Arial" w:hAnsi="Arial" w:cs="Arial"/>
          <w:b/>
          <w:sz w:val="40"/>
          <w:szCs w:val="40"/>
        </w:rPr>
        <w:t>REGINA</w:t>
      </w:r>
    </w:p>
    <w:p w:rsidR="00CB1358" w:rsidRPr="0093361F" w:rsidRDefault="00CB1358" w:rsidP="00EE4309">
      <w:pPr>
        <w:jc w:val="center"/>
        <w:rPr>
          <w:rFonts w:ascii="Arial" w:hAnsi="Arial" w:cs="Arial"/>
          <w:b/>
          <w:sz w:val="36"/>
          <w:szCs w:val="36"/>
        </w:rPr>
      </w:pPr>
    </w:p>
    <w:p w:rsidR="00CB1358" w:rsidRPr="0093361F" w:rsidRDefault="0093361F" w:rsidP="00EE4309">
      <w:pPr>
        <w:jc w:val="center"/>
        <w:rPr>
          <w:rFonts w:ascii="Arial" w:hAnsi="Arial" w:cs="Arial"/>
          <w:b/>
          <w:sz w:val="24"/>
          <w:szCs w:val="24"/>
        </w:rPr>
      </w:pPr>
      <w:proofErr w:type="gramStart"/>
      <w:r>
        <w:rPr>
          <w:rFonts w:ascii="Arial" w:hAnsi="Arial" w:cs="Arial"/>
          <w:b/>
          <w:sz w:val="24"/>
          <w:szCs w:val="24"/>
        </w:rPr>
        <w:t>v</w:t>
      </w:r>
      <w:r w:rsidR="00CB1358" w:rsidRPr="0093361F">
        <w:rPr>
          <w:rFonts w:ascii="Arial" w:hAnsi="Arial" w:cs="Arial"/>
          <w:b/>
          <w:sz w:val="24"/>
          <w:szCs w:val="24"/>
        </w:rPr>
        <w:t>s</w:t>
      </w:r>
      <w:proofErr w:type="gramEnd"/>
    </w:p>
    <w:p w:rsidR="00CB1358" w:rsidRPr="0093361F" w:rsidRDefault="00CB1358" w:rsidP="00EE4309">
      <w:pPr>
        <w:jc w:val="center"/>
        <w:rPr>
          <w:rFonts w:ascii="Arial" w:hAnsi="Arial" w:cs="Arial"/>
          <w:b/>
          <w:sz w:val="24"/>
          <w:szCs w:val="24"/>
        </w:rPr>
      </w:pPr>
    </w:p>
    <w:p w:rsidR="00CB1358" w:rsidRPr="0093361F" w:rsidRDefault="00CB1358" w:rsidP="00EE4309">
      <w:pPr>
        <w:jc w:val="center"/>
        <w:rPr>
          <w:rFonts w:ascii="Arial" w:hAnsi="Arial" w:cs="Arial"/>
          <w:b/>
          <w:sz w:val="40"/>
          <w:szCs w:val="40"/>
        </w:rPr>
      </w:pPr>
      <w:r w:rsidRPr="0093361F">
        <w:rPr>
          <w:rFonts w:ascii="Arial" w:hAnsi="Arial" w:cs="Arial"/>
          <w:b/>
          <w:sz w:val="40"/>
          <w:szCs w:val="40"/>
        </w:rPr>
        <w:t>DENNARJAE JOHNSON</w:t>
      </w:r>
    </w:p>
    <w:p w:rsidR="00CB1358" w:rsidRDefault="00CB1358" w:rsidP="00EE4309">
      <w:pPr>
        <w:jc w:val="center"/>
        <w:rPr>
          <w:rFonts w:ascii="Arial" w:hAnsi="Arial" w:cs="Arial"/>
          <w:sz w:val="24"/>
          <w:szCs w:val="24"/>
        </w:rPr>
      </w:pPr>
    </w:p>
    <w:p w:rsidR="008A3592" w:rsidRPr="00EE4309" w:rsidRDefault="008A3592" w:rsidP="00EE4309">
      <w:pPr>
        <w:jc w:val="center"/>
        <w:rPr>
          <w:rFonts w:ascii="Arial" w:hAnsi="Arial" w:cs="Arial"/>
          <w:sz w:val="24"/>
          <w:szCs w:val="24"/>
        </w:rPr>
      </w:pPr>
    </w:p>
    <w:p w:rsidR="00CB1358" w:rsidRPr="0093361F" w:rsidRDefault="00CB1358" w:rsidP="00EE4309">
      <w:pPr>
        <w:jc w:val="both"/>
        <w:rPr>
          <w:rFonts w:ascii="Arial" w:hAnsi="Arial" w:cs="Arial"/>
          <w:b/>
          <w:sz w:val="24"/>
          <w:szCs w:val="24"/>
        </w:rPr>
      </w:pPr>
      <w:r w:rsidRPr="0093361F">
        <w:rPr>
          <w:rFonts w:ascii="Arial" w:hAnsi="Arial" w:cs="Arial"/>
          <w:b/>
          <w:sz w:val="24"/>
          <w:szCs w:val="24"/>
        </w:rPr>
        <w:t>Before:</w:t>
      </w:r>
      <w:r w:rsidRPr="0093361F">
        <w:rPr>
          <w:rFonts w:ascii="Arial" w:hAnsi="Arial" w:cs="Arial"/>
          <w:b/>
          <w:sz w:val="24"/>
          <w:szCs w:val="24"/>
        </w:rPr>
        <w:tab/>
        <w:t xml:space="preserve"> </w:t>
      </w:r>
      <w:r w:rsidR="0093361F" w:rsidRPr="0093361F">
        <w:rPr>
          <w:rFonts w:ascii="Arial" w:hAnsi="Arial" w:cs="Arial"/>
          <w:b/>
          <w:sz w:val="24"/>
          <w:szCs w:val="24"/>
        </w:rPr>
        <w:tab/>
      </w:r>
      <w:r w:rsidRPr="0093361F">
        <w:rPr>
          <w:rFonts w:ascii="Arial" w:hAnsi="Arial" w:cs="Arial"/>
          <w:b/>
          <w:sz w:val="24"/>
          <w:szCs w:val="24"/>
        </w:rPr>
        <w:t>The Honourable Mr. Justice Gregory Hilton</w:t>
      </w:r>
    </w:p>
    <w:p w:rsidR="00CB1358" w:rsidRPr="0093361F" w:rsidRDefault="00CB1358" w:rsidP="00EE4309">
      <w:pPr>
        <w:jc w:val="both"/>
        <w:rPr>
          <w:rFonts w:ascii="Arial" w:hAnsi="Arial" w:cs="Arial"/>
          <w:b/>
          <w:sz w:val="24"/>
          <w:szCs w:val="24"/>
        </w:rPr>
      </w:pPr>
    </w:p>
    <w:p w:rsidR="00CB1358" w:rsidRPr="0093361F" w:rsidRDefault="0093361F" w:rsidP="00EE4309">
      <w:pPr>
        <w:jc w:val="both"/>
        <w:rPr>
          <w:rFonts w:ascii="Arial" w:hAnsi="Arial" w:cs="Arial"/>
          <w:b/>
          <w:sz w:val="24"/>
          <w:szCs w:val="24"/>
        </w:rPr>
      </w:pPr>
      <w:r>
        <w:rPr>
          <w:rFonts w:ascii="Arial" w:hAnsi="Arial" w:cs="Arial"/>
          <w:b/>
          <w:sz w:val="24"/>
          <w:szCs w:val="24"/>
        </w:rPr>
        <w:t>Appearance:</w:t>
      </w:r>
      <w:r>
        <w:rPr>
          <w:rFonts w:ascii="Arial" w:hAnsi="Arial" w:cs="Arial"/>
          <w:b/>
          <w:sz w:val="24"/>
          <w:szCs w:val="24"/>
        </w:rPr>
        <w:tab/>
      </w:r>
      <w:r w:rsidR="00CB1358" w:rsidRPr="0093361F">
        <w:rPr>
          <w:rFonts w:ascii="Arial" w:hAnsi="Arial" w:cs="Arial"/>
          <w:b/>
          <w:sz w:val="24"/>
          <w:szCs w:val="24"/>
        </w:rPr>
        <w:t>Kendal Carroll III along with Tameka Gibson for the Crown</w:t>
      </w:r>
    </w:p>
    <w:p w:rsidR="00CB1358" w:rsidRPr="0093361F" w:rsidRDefault="001A0B91" w:rsidP="00EE4309">
      <w:pPr>
        <w:jc w:val="both"/>
        <w:rPr>
          <w:rFonts w:ascii="Arial" w:hAnsi="Arial" w:cs="Arial"/>
          <w:b/>
          <w:sz w:val="24"/>
          <w:szCs w:val="24"/>
        </w:rPr>
      </w:pPr>
      <w:r w:rsidRPr="0093361F">
        <w:rPr>
          <w:rFonts w:ascii="Arial" w:hAnsi="Arial" w:cs="Arial"/>
          <w:b/>
          <w:sz w:val="24"/>
          <w:szCs w:val="24"/>
        </w:rPr>
        <w:tab/>
      </w:r>
      <w:r w:rsidRPr="0093361F">
        <w:rPr>
          <w:rFonts w:ascii="Arial" w:hAnsi="Arial" w:cs="Arial"/>
          <w:b/>
          <w:sz w:val="24"/>
          <w:szCs w:val="24"/>
        </w:rPr>
        <w:tab/>
      </w:r>
      <w:r w:rsidRPr="0093361F">
        <w:rPr>
          <w:rFonts w:ascii="Arial" w:hAnsi="Arial" w:cs="Arial"/>
          <w:b/>
          <w:sz w:val="24"/>
          <w:szCs w:val="24"/>
        </w:rPr>
        <w:tab/>
        <w:t>Stanley Rolle along</w:t>
      </w:r>
      <w:r w:rsidR="00CB1358" w:rsidRPr="0093361F">
        <w:rPr>
          <w:rFonts w:ascii="Arial" w:hAnsi="Arial" w:cs="Arial"/>
          <w:b/>
          <w:sz w:val="24"/>
          <w:szCs w:val="24"/>
        </w:rPr>
        <w:t xml:space="preserve"> with </w:t>
      </w:r>
      <w:proofErr w:type="spellStart"/>
      <w:r w:rsidR="00CB1358" w:rsidRPr="0093361F">
        <w:rPr>
          <w:rFonts w:ascii="Arial" w:hAnsi="Arial" w:cs="Arial"/>
          <w:b/>
          <w:sz w:val="24"/>
          <w:szCs w:val="24"/>
        </w:rPr>
        <w:t>Darnielle</w:t>
      </w:r>
      <w:proofErr w:type="spellEnd"/>
      <w:r w:rsidR="00CB1358" w:rsidRPr="0093361F">
        <w:rPr>
          <w:rFonts w:ascii="Arial" w:hAnsi="Arial" w:cs="Arial"/>
          <w:b/>
          <w:sz w:val="24"/>
          <w:szCs w:val="24"/>
        </w:rPr>
        <w:t xml:space="preserve"> Kem</w:t>
      </w:r>
      <w:r w:rsidR="0033604A" w:rsidRPr="0093361F">
        <w:rPr>
          <w:rFonts w:ascii="Arial" w:hAnsi="Arial" w:cs="Arial"/>
          <w:b/>
          <w:sz w:val="24"/>
          <w:szCs w:val="24"/>
        </w:rPr>
        <w:t>p the Accused</w:t>
      </w:r>
    </w:p>
    <w:p w:rsidR="0033604A" w:rsidRPr="0093361F" w:rsidRDefault="0093361F" w:rsidP="00EE4309">
      <w:pPr>
        <w:jc w:val="both"/>
        <w:rPr>
          <w:rFonts w:ascii="Arial" w:hAnsi="Arial" w:cs="Arial"/>
          <w:b/>
          <w:sz w:val="24"/>
          <w:szCs w:val="24"/>
        </w:rPr>
      </w:pPr>
      <w:r>
        <w:rPr>
          <w:rFonts w:ascii="Arial" w:hAnsi="Arial" w:cs="Arial"/>
          <w:b/>
          <w:sz w:val="24"/>
          <w:szCs w:val="24"/>
        </w:rPr>
        <w:t>Hearing Date:</w:t>
      </w:r>
      <w:r>
        <w:rPr>
          <w:rFonts w:ascii="Arial" w:hAnsi="Arial" w:cs="Arial"/>
          <w:b/>
          <w:sz w:val="24"/>
          <w:szCs w:val="24"/>
        </w:rPr>
        <w:tab/>
      </w:r>
      <w:r w:rsidR="0033604A" w:rsidRPr="0093361F">
        <w:rPr>
          <w:rFonts w:ascii="Arial" w:hAnsi="Arial" w:cs="Arial"/>
          <w:b/>
          <w:sz w:val="24"/>
          <w:szCs w:val="24"/>
        </w:rPr>
        <w:t>11</w:t>
      </w:r>
      <w:r w:rsidR="0033604A" w:rsidRPr="0093361F">
        <w:rPr>
          <w:rFonts w:ascii="Arial" w:hAnsi="Arial" w:cs="Arial"/>
          <w:b/>
          <w:sz w:val="24"/>
          <w:szCs w:val="24"/>
          <w:vertAlign w:val="superscript"/>
        </w:rPr>
        <w:t>th</w:t>
      </w:r>
      <w:r w:rsidR="0033604A" w:rsidRPr="0093361F">
        <w:rPr>
          <w:rFonts w:ascii="Arial" w:hAnsi="Arial" w:cs="Arial"/>
          <w:b/>
          <w:sz w:val="24"/>
          <w:szCs w:val="24"/>
        </w:rPr>
        <w:t xml:space="preserve"> August, 2022</w:t>
      </w:r>
    </w:p>
    <w:p w:rsidR="00EE4309" w:rsidRDefault="00EE4309"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Pr="00EE4309" w:rsidRDefault="0093361F" w:rsidP="00EE4309">
      <w:pPr>
        <w:jc w:val="both"/>
        <w:rPr>
          <w:rFonts w:ascii="Arial" w:hAnsi="Arial" w:cs="Arial"/>
          <w:sz w:val="24"/>
          <w:szCs w:val="24"/>
        </w:rPr>
      </w:pPr>
    </w:p>
    <w:p w:rsidR="0033604A" w:rsidRPr="00EE4309" w:rsidRDefault="0033604A" w:rsidP="00EE4309">
      <w:pPr>
        <w:jc w:val="center"/>
        <w:rPr>
          <w:rFonts w:ascii="Goudy Stout" w:hAnsi="Goudy Stout" w:cs="Arial"/>
          <w:sz w:val="44"/>
          <w:szCs w:val="44"/>
        </w:rPr>
      </w:pPr>
      <w:r w:rsidRPr="00EE4309">
        <w:rPr>
          <w:rFonts w:ascii="Goudy Stout" w:hAnsi="Goudy Stout" w:cs="Arial"/>
          <w:sz w:val="44"/>
          <w:szCs w:val="44"/>
        </w:rPr>
        <w:t>D E C I S I O N</w:t>
      </w:r>
    </w:p>
    <w:p w:rsidR="0033604A" w:rsidRDefault="0033604A" w:rsidP="00EE4309">
      <w:pPr>
        <w:jc w:val="both"/>
        <w:rPr>
          <w:rFonts w:ascii="Arial" w:hAnsi="Arial" w:cs="Arial"/>
          <w:sz w:val="24"/>
          <w:szCs w:val="24"/>
        </w:rPr>
      </w:pPr>
    </w:p>
    <w:p w:rsidR="008A3592" w:rsidRPr="00EE4309" w:rsidRDefault="008A3592" w:rsidP="00EE4309">
      <w:pPr>
        <w:jc w:val="both"/>
        <w:rPr>
          <w:rFonts w:ascii="Arial" w:hAnsi="Arial" w:cs="Arial"/>
          <w:sz w:val="24"/>
          <w:szCs w:val="24"/>
        </w:rPr>
      </w:pPr>
    </w:p>
    <w:p w:rsidR="0033604A" w:rsidRPr="00EE4309" w:rsidRDefault="0033604A" w:rsidP="00EE4309">
      <w:pPr>
        <w:jc w:val="both"/>
        <w:rPr>
          <w:rFonts w:ascii="Arial" w:hAnsi="Arial" w:cs="Arial"/>
          <w:sz w:val="24"/>
          <w:szCs w:val="24"/>
        </w:rPr>
      </w:pPr>
      <w:r w:rsidRPr="00EE4309">
        <w:rPr>
          <w:rFonts w:ascii="Arial" w:hAnsi="Arial" w:cs="Arial"/>
          <w:sz w:val="24"/>
          <w:szCs w:val="24"/>
        </w:rPr>
        <w:t xml:space="preserve">[Criminal Law – Notice of Additional Evidence Requirement as to </w:t>
      </w:r>
      <w:r w:rsidR="00E229CC">
        <w:rPr>
          <w:rFonts w:ascii="Arial" w:hAnsi="Arial" w:cs="Arial"/>
          <w:sz w:val="24"/>
          <w:szCs w:val="24"/>
        </w:rPr>
        <w:t>Reasona</w:t>
      </w:r>
      <w:r w:rsidR="00BE0CF5" w:rsidRPr="00EE4309">
        <w:rPr>
          <w:rFonts w:ascii="Arial" w:hAnsi="Arial" w:cs="Arial"/>
          <w:sz w:val="24"/>
          <w:szCs w:val="24"/>
        </w:rPr>
        <w:t>ble</w:t>
      </w:r>
      <w:r w:rsidRPr="00EE4309">
        <w:rPr>
          <w:rFonts w:ascii="Arial" w:hAnsi="Arial" w:cs="Arial"/>
          <w:sz w:val="24"/>
          <w:szCs w:val="24"/>
        </w:rPr>
        <w:t xml:space="preserve"> Notice – Later Service – Expert evidence.]</w:t>
      </w:r>
    </w:p>
    <w:p w:rsidR="0093361F" w:rsidRPr="00EE4309" w:rsidRDefault="0093361F" w:rsidP="00EE4309">
      <w:pPr>
        <w:jc w:val="both"/>
        <w:rPr>
          <w:rFonts w:ascii="Arial" w:hAnsi="Arial" w:cs="Arial"/>
          <w:sz w:val="24"/>
          <w:szCs w:val="24"/>
        </w:rPr>
      </w:pPr>
    </w:p>
    <w:p w:rsidR="00BE0CF5" w:rsidRPr="0093361F" w:rsidRDefault="00BE0CF5" w:rsidP="00EE4309">
      <w:pPr>
        <w:jc w:val="both"/>
        <w:rPr>
          <w:rFonts w:ascii="Arial" w:hAnsi="Arial" w:cs="Arial"/>
          <w:b/>
          <w:sz w:val="24"/>
          <w:szCs w:val="24"/>
        </w:rPr>
      </w:pPr>
      <w:r w:rsidRPr="0093361F">
        <w:rPr>
          <w:rFonts w:ascii="Arial" w:hAnsi="Arial" w:cs="Arial"/>
          <w:b/>
          <w:sz w:val="24"/>
          <w:szCs w:val="24"/>
        </w:rPr>
        <w:lastRenderedPageBreak/>
        <w:t>HILTON, J.</w:t>
      </w:r>
    </w:p>
    <w:p w:rsidR="00BE0CF5" w:rsidRPr="00EE4309" w:rsidRDefault="00BE0CF5" w:rsidP="00EE4309">
      <w:pPr>
        <w:jc w:val="both"/>
        <w:rPr>
          <w:rFonts w:ascii="Arial" w:hAnsi="Arial" w:cs="Arial"/>
          <w:sz w:val="24"/>
          <w:szCs w:val="24"/>
        </w:rPr>
      </w:pPr>
    </w:p>
    <w:p w:rsidR="00BE0CF5" w:rsidRPr="00EE4309" w:rsidRDefault="00BE0CF5" w:rsidP="00EE4309">
      <w:pPr>
        <w:jc w:val="both"/>
        <w:rPr>
          <w:rFonts w:ascii="Arial" w:hAnsi="Arial" w:cs="Arial"/>
          <w:sz w:val="24"/>
          <w:szCs w:val="24"/>
        </w:rPr>
      </w:pPr>
      <w:r w:rsidRPr="00EE4309">
        <w:rPr>
          <w:rFonts w:ascii="Arial" w:hAnsi="Arial" w:cs="Arial"/>
          <w:sz w:val="24"/>
          <w:szCs w:val="24"/>
        </w:rPr>
        <w:t>1.</w:t>
      </w:r>
      <w:r w:rsidRPr="00EE4309">
        <w:rPr>
          <w:rFonts w:ascii="Arial" w:hAnsi="Arial" w:cs="Arial"/>
          <w:sz w:val="24"/>
          <w:szCs w:val="24"/>
        </w:rPr>
        <w:tab/>
      </w:r>
      <w:r w:rsidR="001558A3" w:rsidRPr="00EE4309">
        <w:rPr>
          <w:rFonts w:ascii="Arial" w:hAnsi="Arial" w:cs="Arial"/>
          <w:sz w:val="24"/>
          <w:szCs w:val="24"/>
        </w:rPr>
        <w:t>The A</w:t>
      </w:r>
      <w:r w:rsidRPr="00EE4309">
        <w:rPr>
          <w:rFonts w:ascii="Arial" w:hAnsi="Arial" w:cs="Arial"/>
          <w:sz w:val="24"/>
          <w:szCs w:val="24"/>
        </w:rPr>
        <w:t xml:space="preserve">ccused </w:t>
      </w:r>
      <w:proofErr w:type="spellStart"/>
      <w:r w:rsidRPr="00EE4309">
        <w:rPr>
          <w:rFonts w:ascii="Arial" w:hAnsi="Arial" w:cs="Arial"/>
          <w:sz w:val="24"/>
          <w:szCs w:val="24"/>
        </w:rPr>
        <w:t>Denna</w:t>
      </w:r>
      <w:r w:rsidR="0093361F">
        <w:rPr>
          <w:rFonts w:ascii="Arial" w:hAnsi="Arial" w:cs="Arial"/>
          <w:sz w:val="24"/>
          <w:szCs w:val="24"/>
        </w:rPr>
        <w:t>r</w:t>
      </w:r>
      <w:r w:rsidRPr="00EE4309">
        <w:rPr>
          <w:rFonts w:ascii="Arial" w:hAnsi="Arial" w:cs="Arial"/>
          <w:sz w:val="24"/>
          <w:szCs w:val="24"/>
        </w:rPr>
        <w:t>jae</w:t>
      </w:r>
      <w:proofErr w:type="spellEnd"/>
      <w:r w:rsidRPr="00EE4309">
        <w:rPr>
          <w:rFonts w:ascii="Arial" w:hAnsi="Arial" w:cs="Arial"/>
          <w:sz w:val="24"/>
          <w:szCs w:val="24"/>
        </w:rPr>
        <w:t xml:space="preserve"> Johnson is charged with the offences of </w:t>
      </w:r>
      <w:r w:rsidR="001A0B91">
        <w:rPr>
          <w:rFonts w:ascii="Arial" w:hAnsi="Arial" w:cs="Arial"/>
          <w:sz w:val="24"/>
          <w:szCs w:val="24"/>
        </w:rPr>
        <w:t xml:space="preserve">Armed Robbery, Kidnapping </w:t>
      </w:r>
      <w:r w:rsidRPr="00EE4309">
        <w:rPr>
          <w:rFonts w:ascii="Arial" w:hAnsi="Arial" w:cs="Arial"/>
          <w:sz w:val="24"/>
          <w:szCs w:val="24"/>
        </w:rPr>
        <w:t>and receiving alleged to have occurred on 27</w:t>
      </w:r>
      <w:r w:rsidRPr="00EE4309">
        <w:rPr>
          <w:rFonts w:ascii="Arial" w:hAnsi="Arial" w:cs="Arial"/>
          <w:sz w:val="24"/>
          <w:szCs w:val="24"/>
          <w:vertAlign w:val="superscript"/>
        </w:rPr>
        <w:t>th</w:t>
      </w:r>
      <w:r w:rsidRPr="00EE4309">
        <w:rPr>
          <w:rFonts w:ascii="Arial" w:hAnsi="Arial" w:cs="Arial"/>
          <w:sz w:val="24"/>
          <w:szCs w:val="24"/>
        </w:rPr>
        <w:t xml:space="preserve"> September, 2019.</w:t>
      </w:r>
    </w:p>
    <w:p w:rsidR="00BE0CF5" w:rsidRPr="00EE4309" w:rsidRDefault="00BE0CF5" w:rsidP="00EE4309">
      <w:pPr>
        <w:jc w:val="both"/>
        <w:rPr>
          <w:rFonts w:ascii="Arial" w:hAnsi="Arial" w:cs="Arial"/>
          <w:sz w:val="24"/>
          <w:szCs w:val="24"/>
        </w:rPr>
      </w:pPr>
      <w:r w:rsidRPr="00EE4309">
        <w:rPr>
          <w:rFonts w:ascii="Arial" w:hAnsi="Arial" w:cs="Arial"/>
          <w:sz w:val="24"/>
          <w:szCs w:val="24"/>
        </w:rPr>
        <w:tab/>
        <w:t>He was arraigned in the Supreme Court on a Voluntary Bill of Indictment (VBI) filed on the 20</w:t>
      </w:r>
      <w:r w:rsidRPr="00EE4309">
        <w:rPr>
          <w:rFonts w:ascii="Arial" w:hAnsi="Arial" w:cs="Arial"/>
          <w:sz w:val="24"/>
          <w:szCs w:val="24"/>
          <w:vertAlign w:val="superscript"/>
        </w:rPr>
        <w:t>th</w:t>
      </w:r>
      <w:r w:rsidRPr="00EE4309">
        <w:rPr>
          <w:rFonts w:ascii="Arial" w:hAnsi="Arial" w:cs="Arial"/>
          <w:sz w:val="24"/>
          <w:szCs w:val="24"/>
        </w:rPr>
        <w:t xml:space="preserve"> November, 2019 and on 19</w:t>
      </w:r>
      <w:r w:rsidRPr="00EE4309">
        <w:rPr>
          <w:rFonts w:ascii="Arial" w:hAnsi="Arial" w:cs="Arial"/>
          <w:sz w:val="24"/>
          <w:szCs w:val="24"/>
          <w:vertAlign w:val="superscript"/>
        </w:rPr>
        <w:t>th</w:t>
      </w:r>
      <w:r w:rsidRPr="00EE4309">
        <w:rPr>
          <w:rFonts w:ascii="Arial" w:hAnsi="Arial" w:cs="Arial"/>
          <w:sz w:val="24"/>
          <w:szCs w:val="24"/>
        </w:rPr>
        <w:t xml:space="preserve"> December, 2019 his trial was fixed for 8</w:t>
      </w:r>
      <w:r w:rsidRPr="00EE4309">
        <w:rPr>
          <w:rFonts w:ascii="Arial" w:hAnsi="Arial" w:cs="Arial"/>
          <w:sz w:val="24"/>
          <w:szCs w:val="24"/>
          <w:vertAlign w:val="superscript"/>
        </w:rPr>
        <w:t>th</w:t>
      </w:r>
      <w:r w:rsidRPr="00EE4309">
        <w:rPr>
          <w:rFonts w:ascii="Arial" w:hAnsi="Arial" w:cs="Arial"/>
          <w:sz w:val="24"/>
          <w:szCs w:val="24"/>
        </w:rPr>
        <w:t xml:space="preserve"> August, 2022.</w:t>
      </w:r>
    </w:p>
    <w:p w:rsidR="00BE0CF5" w:rsidRPr="00EE4309" w:rsidRDefault="00BE0CF5" w:rsidP="00EE4309">
      <w:pPr>
        <w:jc w:val="both"/>
        <w:rPr>
          <w:rFonts w:ascii="Arial" w:hAnsi="Arial" w:cs="Arial"/>
          <w:sz w:val="24"/>
          <w:szCs w:val="24"/>
        </w:rPr>
      </w:pPr>
      <w:r w:rsidRPr="00EE4309">
        <w:rPr>
          <w:rFonts w:ascii="Arial" w:hAnsi="Arial" w:cs="Arial"/>
          <w:sz w:val="24"/>
          <w:szCs w:val="24"/>
        </w:rPr>
        <w:tab/>
        <w:t xml:space="preserve">Prosecution </w:t>
      </w:r>
      <w:r w:rsidR="001558A3" w:rsidRPr="00EE4309">
        <w:rPr>
          <w:rFonts w:ascii="Arial" w:hAnsi="Arial" w:cs="Arial"/>
          <w:sz w:val="24"/>
          <w:szCs w:val="24"/>
        </w:rPr>
        <w:t>and Defence Questionnaires were</w:t>
      </w:r>
      <w:r w:rsidRPr="00EE4309">
        <w:rPr>
          <w:rFonts w:ascii="Arial" w:hAnsi="Arial" w:cs="Arial"/>
          <w:sz w:val="24"/>
          <w:szCs w:val="24"/>
        </w:rPr>
        <w:t xml:space="preserve"> exchanged at Case Managem</w:t>
      </w:r>
      <w:r w:rsidR="00A84EE3" w:rsidRPr="00EE4309">
        <w:rPr>
          <w:rFonts w:ascii="Arial" w:hAnsi="Arial" w:cs="Arial"/>
          <w:sz w:val="24"/>
          <w:szCs w:val="24"/>
        </w:rPr>
        <w:t>ent hearings in 2020 and 2021 w</w:t>
      </w:r>
      <w:r w:rsidRPr="00EE4309">
        <w:rPr>
          <w:rFonts w:ascii="Arial" w:hAnsi="Arial" w:cs="Arial"/>
          <w:sz w:val="24"/>
          <w:szCs w:val="24"/>
        </w:rPr>
        <w:t>ith the Prosecution</w:t>
      </w:r>
      <w:r w:rsidR="00A84EE3" w:rsidRPr="00EE4309">
        <w:rPr>
          <w:rFonts w:ascii="Arial" w:hAnsi="Arial" w:cs="Arial"/>
          <w:sz w:val="24"/>
          <w:szCs w:val="24"/>
        </w:rPr>
        <w:t xml:space="preserve"> indicating in writing that the numb</w:t>
      </w:r>
      <w:r w:rsidRPr="00EE4309">
        <w:rPr>
          <w:rFonts w:ascii="Arial" w:hAnsi="Arial" w:cs="Arial"/>
          <w:sz w:val="24"/>
          <w:szCs w:val="24"/>
        </w:rPr>
        <w:t xml:space="preserve">er of witnesses to be called would be seven </w:t>
      </w:r>
      <w:r w:rsidR="001558A3" w:rsidRPr="00EE4309">
        <w:rPr>
          <w:rFonts w:ascii="Arial" w:hAnsi="Arial" w:cs="Arial"/>
          <w:sz w:val="24"/>
          <w:szCs w:val="24"/>
        </w:rPr>
        <w:t>(7), as listed on the back of the V.B.I.</w:t>
      </w:r>
    </w:p>
    <w:p w:rsidR="001558A3" w:rsidRPr="00EE4309" w:rsidRDefault="001558A3" w:rsidP="00EE4309">
      <w:pPr>
        <w:jc w:val="both"/>
        <w:rPr>
          <w:rFonts w:ascii="Arial" w:hAnsi="Arial" w:cs="Arial"/>
          <w:sz w:val="24"/>
          <w:szCs w:val="24"/>
        </w:rPr>
      </w:pPr>
      <w:r w:rsidRPr="00EE4309">
        <w:rPr>
          <w:rFonts w:ascii="Arial" w:hAnsi="Arial" w:cs="Arial"/>
          <w:sz w:val="24"/>
          <w:szCs w:val="24"/>
        </w:rPr>
        <w:tab/>
        <w:t>At the Case Management hearing on 19</w:t>
      </w:r>
      <w:r w:rsidRPr="00EE4309">
        <w:rPr>
          <w:rFonts w:ascii="Arial" w:hAnsi="Arial" w:cs="Arial"/>
          <w:sz w:val="24"/>
          <w:szCs w:val="24"/>
          <w:vertAlign w:val="superscript"/>
        </w:rPr>
        <w:t>th</w:t>
      </w:r>
      <w:r w:rsidRPr="00EE4309">
        <w:rPr>
          <w:rFonts w:ascii="Arial" w:hAnsi="Arial" w:cs="Arial"/>
          <w:sz w:val="24"/>
          <w:szCs w:val="24"/>
        </w:rPr>
        <w:t xml:space="preserve"> September, 2021 the Defence requested that the Prosecution provide </w:t>
      </w:r>
      <w:r w:rsidR="00984656">
        <w:rPr>
          <w:rFonts w:ascii="Arial" w:hAnsi="Arial" w:cs="Arial"/>
          <w:sz w:val="24"/>
          <w:szCs w:val="24"/>
        </w:rPr>
        <w:t>them with a copy of the Record o</w:t>
      </w:r>
      <w:r w:rsidRPr="00EE4309">
        <w:rPr>
          <w:rFonts w:ascii="Arial" w:hAnsi="Arial" w:cs="Arial"/>
          <w:sz w:val="24"/>
          <w:szCs w:val="24"/>
        </w:rPr>
        <w:t>f Interview of the Accused along with an</w:t>
      </w:r>
      <w:r w:rsidR="00645F70" w:rsidRPr="00EE4309">
        <w:rPr>
          <w:rFonts w:ascii="Arial" w:hAnsi="Arial" w:cs="Arial"/>
          <w:sz w:val="24"/>
          <w:szCs w:val="24"/>
        </w:rPr>
        <w:t>y and all other outstanding</w:t>
      </w:r>
      <w:r w:rsidR="00984656">
        <w:rPr>
          <w:rFonts w:ascii="Arial" w:hAnsi="Arial" w:cs="Arial"/>
          <w:sz w:val="24"/>
          <w:szCs w:val="24"/>
        </w:rPr>
        <w:t xml:space="preserve"> documents</w:t>
      </w:r>
      <w:r w:rsidR="00645F70" w:rsidRPr="00EE4309">
        <w:rPr>
          <w:rFonts w:ascii="Arial" w:hAnsi="Arial" w:cs="Arial"/>
          <w:sz w:val="24"/>
          <w:szCs w:val="24"/>
        </w:rPr>
        <w:t>.</w:t>
      </w:r>
      <w:r w:rsidR="00645F70" w:rsidRPr="00EE4309">
        <w:rPr>
          <w:rFonts w:ascii="Arial" w:hAnsi="Arial" w:cs="Arial"/>
          <w:sz w:val="24"/>
          <w:szCs w:val="24"/>
        </w:rPr>
        <w:tab/>
      </w:r>
    </w:p>
    <w:p w:rsidR="00645F70" w:rsidRPr="00EE4309" w:rsidRDefault="00984656" w:rsidP="00EE4309">
      <w:pPr>
        <w:jc w:val="both"/>
        <w:rPr>
          <w:rFonts w:ascii="Arial" w:hAnsi="Arial" w:cs="Arial"/>
          <w:sz w:val="24"/>
          <w:szCs w:val="24"/>
        </w:rPr>
      </w:pPr>
      <w:r>
        <w:rPr>
          <w:rFonts w:ascii="Arial" w:hAnsi="Arial" w:cs="Arial"/>
          <w:sz w:val="24"/>
          <w:szCs w:val="24"/>
        </w:rPr>
        <w:tab/>
        <w:t>At the C</w:t>
      </w:r>
      <w:r w:rsidR="00645F70" w:rsidRPr="00EE4309">
        <w:rPr>
          <w:rFonts w:ascii="Arial" w:hAnsi="Arial" w:cs="Arial"/>
          <w:sz w:val="24"/>
          <w:szCs w:val="24"/>
        </w:rPr>
        <w:t>ase Management hearing on 23</w:t>
      </w:r>
      <w:r w:rsidR="00645F70" w:rsidRPr="00EE4309">
        <w:rPr>
          <w:rFonts w:ascii="Arial" w:hAnsi="Arial" w:cs="Arial"/>
          <w:sz w:val="24"/>
          <w:szCs w:val="24"/>
          <w:vertAlign w:val="superscript"/>
        </w:rPr>
        <w:t>rd</w:t>
      </w:r>
      <w:r>
        <w:rPr>
          <w:rFonts w:ascii="Arial" w:hAnsi="Arial" w:cs="Arial"/>
          <w:sz w:val="24"/>
          <w:szCs w:val="24"/>
        </w:rPr>
        <w:t xml:space="preserve"> June, 2022 the t</w:t>
      </w:r>
      <w:r w:rsidR="00645F70" w:rsidRPr="00EE4309">
        <w:rPr>
          <w:rFonts w:ascii="Arial" w:hAnsi="Arial" w:cs="Arial"/>
          <w:sz w:val="24"/>
          <w:szCs w:val="24"/>
        </w:rPr>
        <w:t>rial was confirmed to commence on 8</w:t>
      </w:r>
      <w:r w:rsidR="00645F70" w:rsidRPr="00EE4309">
        <w:rPr>
          <w:rFonts w:ascii="Arial" w:hAnsi="Arial" w:cs="Arial"/>
          <w:sz w:val="24"/>
          <w:szCs w:val="24"/>
          <w:vertAlign w:val="superscript"/>
        </w:rPr>
        <w:t>th</w:t>
      </w:r>
      <w:r w:rsidR="00645F70" w:rsidRPr="00EE4309">
        <w:rPr>
          <w:rFonts w:ascii="Arial" w:hAnsi="Arial" w:cs="Arial"/>
          <w:sz w:val="24"/>
          <w:szCs w:val="24"/>
        </w:rPr>
        <w:t xml:space="preserve"> August, 2022 and both Prosecution and Defence Counsel indi</w:t>
      </w:r>
      <w:r>
        <w:rPr>
          <w:rFonts w:ascii="Arial" w:hAnsi="Arial" w:cs="Arial"/>
          <w:sz w:val="24"/>
          <w:szCs w:val="24"/>
        </w:rPr>
        <w:t>cated that they were ready for t</w:t>
      </w:r>
      <w:r w:rsidR="00645F70" w:rsidRPr="00EE4309">
        <w:rPr>
          <w:rFonts w:ascii="Arial" w:hAnsi="Arial" w:cs="Arial"/>
          <w:sz w:val="24"/>
          <w:szCs w:val="24"/>
        </w:rPr>
        <w:t>rial.</w:t>
      </w:r>
    </w:p>
    <w:p w:rsidR="00645F70" w:rsidRPr="00EE4309" w:rsidRDefault="00645F70" w:rsidP="00EE4309">
      <w:pPr>
        <w:jc w:val="both"/>
        <w:rPr>
          <w:rFonts w:ascii="Arial" w:hAnsi="Arial" w:cs="Arial"/>
          <w:sz w:val="24"/>
          <w:szCs w:val="24"/>
        </w:rPr>
      </w:pPr>
      <w:r w:rsidRPr="00EE4309">
        <w:rPr>
          <w:rFonts w:ascii="Arial" w:hAnsi="Arial" w:cs="Arial"/>
          <w:sz w:val="24"/>
          <w:szCs w:val="24"/>
        </w:rPr>
        <w:tab/>
        <w:t>On the 8</w:t>
      </w:r>
      <w:r w:rsidRPr="00EE4309">
        <w:rPr>
          <w:rFonts w:ascii="Arial" w:hAnsi="Arial" w:cs="Arial"/>
          <w:sz w:val="24"/>
          <w:szCs w:val="24"/>
          <w:vertAlign w:val="superscript"/>
        </w:rPr>
        <w:t>th</w:t>
      </w:r>
      <w:r w:rsidR="00984656">
        <w:rPr>
          <w:rFonts w:ascii="Arial" w:hAnsi="Arial" w:cs="Arial"/>
          <w:sz w:val="24"/>
          <w:szCs w:val="24"/>
        </w:rPr>
        <w:t xml:space="preserve"> August, 2022 the J</w:t>
      </w:r>
      <w:r w:rsidRPr="00EE4309">
        <w:rPr>
          <w:rFonts w:ascii="Arial" w:hAnsi="Arial" w:cs="Arial"/>
          <w:sz w:val="24"/>
          <w:szCs w:val="24"/>
        </w:rPr>
        <w:t xml:space="preserve">ury was empaneled and the Crown commenced </w:t>
      </w:r>
      <w:r w:rsidR="009A0E1E" w:rsidRPr="00EE4309">
        <w:rPr>
          <w:rFonts w:ascii="Arial" w:hAnsi="Arial" w:cs="Arial"/>
          <w:sz w:val="24"/>
          <w:szCs w:val="24"/>
        </w:rPr>
        <w:t>its</w:t>
      </w:r>
      <w:r w:rsidRPr="00EE4309">
        <w:rPr>
          <w:rFonts w:ascii="Arial" w:hAnsi="Arial" w:cs="Arial"/>
          <w:sz w:val="24"/>
          <w:szCs w:val="24"/>
        </w:rPr>
        <w:t xml:space="preserve"> case and call</w:t>
      </w:r>
      <w:r w:rsidR="00984656">
        <w:rPr>
          <w:rFonts w:ascii="Arial" w:hAnsi="Arial" w:cs="Arial"/>
          <w:sz w:val="24"/>
          <w:szCs w:val="24"/>
        </w:rPr>
        <w:t>ed</w:t>
      </w:r>
      <w:r w:rsidRPr="00EE4309">
        <w:rPr>
          <w:rFonts w:ascii="Arial" w:hAnsi="Arial" w:cs="Arial"/>
          <w:sz w:val="24"/>
          <w:szCs w:val="24"/>
        </w:rPr>
        <w:t xml:space="preserve"> two (2) witnesses</w:t>
      </w:r>
      <w:r w:rsidR="00984656">
        <w:rPr>
          <w:rFonts w:ascii="Arial" w:hAnsi="Arial" w:cs="Arial"/>
          <w:sz w:val="24"/>
          <w:szCs w:val="24"/>
        </w:rPr>
        <w:t>.  O</w:t>
      </w:r>
      <w:r w:rsidRPr="00EE4309">
        <w:rPr>
          <w:rFonts w:ascii="Arial" w:hAnsi="Arial" w:cs="Arial"/>
          <w:sz w:val="24"/>
          <w:szCs w:val="24"/>
        </w:rPr>
        <w:t>n 10</w:t>
      </w:r>
      <w:r w:rsidRPr="00EE4309">
        <w:rPr>
          <w:rFonts w:ascii="Arial" w:hAnsi="Arial" w:cs="Arial"/>
          <w:sz w:val="24"/>
          <w:szCs w:val="24"/>
          <w:vertAlign w:val="superscript"/>
        </w:rPr>
        <w:t>th</w:t>
      </w:r>
      <w:r w:rsidRPr="00EE4309">
        <w:rPr>
          <w:rFonts w:ascii="Arial" w:hAnsi="Arial" w:cs="Arial"/>
          <w:sz w:val="24"/>
          <w:szCs w:val="24"/>
        </w:rPr>
        <w:t xml:space="preserve"> August, 2022 the Crown served Defence Counsel with a Not</w:t>
      </w:r>
      <w:r w:rsidR="00984656">
        <w:rPr>
          <w:rFonts w:ascii="Arial" w:hAnsi="Arial" w:cs="Arial"/>
          <w:sz w:val="24"/>
          <w:szCs w:val="24"/>
        </w:rPr>
        <w:t>ice of Additional Evidence of S</w:t>
      </w:r>
      <w:r w:rsidRPr="00EE4309">
        <w:rPr>
          <w:rFonts w:ascii="Arial" w:hAnsi="Arial" w:cs="Arial"/>
          <w:sz w:val="24"/>
          <w:szCs w:val="24"/>
        </w:rPr>
        <w:t xml:space="preserve">gt. 298 </w:t>
      </w:r>
      <w:proofErr w:type="spellStart"/>
      <w:r w:rsidRPr="00EE4309">
        <w:rPr>
          <w:rFonts w:ascii="Arial" w:hAnsi="Arial" w:cs="Arial"/>
          <w:sz w:val="24"/>
          <w:szCs w:val="24"/>
        </w:rPr>
        <w:t>Rosenell</w:t>
      </w:r>
      <w:proofErr w:type="spellEnd"/>
      <w:r w:rsidRPr="00EE4309">
        <w:rPr>
          <w:rFonts w:ascii="Arial" w:hAnsi="Arial" w:cs="Arial"/>
          <w:sz w:val="24"/>
          <w:szCs w:val="24"/>
        </w:rPr>
        <w:t xml:space="preserve"> Butler a fingerprint expert they</w:t>
      </w:r>
      <w:r w:rsidR="00984656">
        <w:rPr>
          <w:rFonts w:ascii="Arial" w:hAnsi="Arial" w:cs="Arial"/>
          <w:sz w:val="24"/>
          <w:szCs w:val="24"/>
        </w:rPr>
        <w:t xml:space="preserve"> wished to call, whose evidence</w:t>
      </w:r>
      <w:r w:rsidRPr="00EE4309">
        <w:rPr>
          <w:rFonts w:ascii="Arial" w:hAnsi="Arial" w:cs="Arial"/>
          <w:sz w:val="24"/>
          <w:szCs w:val="24"/>
        </w:rPr>
        <w:t xml:space="preserve"> substantially, is</w:t>
      </w:r>
      <w:r w:rsidR="00DC69F0" w:rsidRPr="00EE4309">
        <w:rPr>
          <w:rFonts w:ascii="Arial" w:hAnsi="Arial" w:cs="Arial"/>
          <w:sz w:val="24"/>
          <w:szCs w:val="24"/>
        </w:rPr>
        <w:t xml:space="preserve"> that the fingerprint impression</w:t>
      </w:r>
      <w:r w:rsidR="00984656">
        <w:rPr>
          <w:rFonts w:ascii="Arial" w:hAnsi="Arial" w:cs="Arial"/>
          <w:sz w:val="24"/>
          <w:szCs w:val="24"/>
        </w:rPr>
        <w:t>, s</w:t>
      </w:r>
      <w:r w:rsidR="00E229CC">
        <w:rPr>
          <w:rFonts w:ascii="Arial" w:hAnsi="Arial" w:cs="Arial"/>
          <w:sz w:val="24"/>
          <w:szCs w:val="24"/>
        </w:rPr>
        <w:t>he examined</w:t>
      </w:r>
      <w:r w:rsidR="00DC69F0" w:rsidRPr="00EE4309">
        <w:rPr>
          <w:rFonts w:ascii="Arial" w:hAnsi="Arial" w:cs="Arial"/>
          <w:sz w:val="24"/>
          <w:szCs w:val="24"/>
        </w:rPr>
        <w:t xml:space="preserve"> which purported</w:t>
      </w:r>
      <w:r w:rsidR="00984656">
        <w:rPr>
          <w:rFonts w:ascii="Arial" w:hAnsi="Arial" w:cs="Arial"/>
          <w:sz w:val="24"/>
          <w:szCs w:val="24"/>
        </w:rPr>
        <w:t>ly</w:t>
      </w:r>
      <w:r w:rsidR="00DC69F0" w:rsidRPr="00EE4309">
        <w:rPr>
          <w:rFonts w:ascii="Arial" w:hAnsi="Arial" w:cs="Arial"/>
          <w:sz w:val="24"/>
          <w:szCs w:val="24"/>
        </w:rPr>
        <w:t xml:space="preserve"> came from the ve</w:t>
      </w:r>
      <w:r w:rsidR="00984656">
        <w:rPr>
          <w:rFonts w:ascii="Arial" w:hAnsi="Arial" w:cs="Arial"/>
          <w:sz w:val="24"/>
          <w:szCs w:val="24"/>
        </w:rPr>
        <w:t>hicle the subject of the charges</w:t>
      </w:r>
      <w:r w:rsidR="00DC69F0" w:rsidRPr="00EE4309">
        <w:rPr>
          <w:rFonts w:ascii="Arial" w:hAnsi="Arial" w:cs="Arial"/>
          <w:sz w:val="24"/>
          <w:szCs w:val="24"/>
        </w:rPr>
        <w:t xml:space="preserve"> matched the official rolled fingerprint of the A</w:t>
      </w:r>
      <w:r w:rsidR="0020525D" w:rsidRPr="00EE4309">
        <w:rPr>
          <w:rFonts w:ascii="Arial" w:hAnsi="Arial" w:cs="Arial"/>
          <w:sz w:val="24"/>
          <w:szCs w:val="24"/>
        </w:rPr>
        <w:t>ccused, and orally gave notice of their intent also to call Cpl. 3478 David Rolle who would purportedly have taken the official fingerprint of the Accused after he was arrested in 2019, and the notice was filed on 11</w:t>
      </w:r>
      <w:r w:rsidR="0020525D" w:rsidRPr="00EE4309">
        <w:rPr>
          <w:rFonts w:ascii="Arial" w:hAnsi="Arial" w:cs="Arial"/>
          <w:sz w:val="24"/>
          <w:szCs w:val="24"/>
          <w:vertAlign w:val="superscript"/>
        </w:rPr>
        <w:t>th</w:t>
      </w:r>
      <w:r w:rsidR="0020525D" w:rsidRPr="00EE4309">
        <w:rPr>
          <w:rFonts w:ascii="Arial" w:hAnsi="Arial" w:cs="Arial"/>
          <w:sz w:val="24"/>
          <w:szCs w:val="24"/>
        </w:rPr>
        <w:t xml:space="preserve"> August, 2019.</w:t>
      </w:r>
    </w:p>
    <w:p w:rsidR="0020525D" w:rsidRPr="00EE4309" w:rsidRDefault="0020525D" w:rsidP="00EE4309">
      <w:pPr>
        <w:jc w:val="both"/>
        <w:rPr>
          <w:rFonts w:ascii="Arial" w:hAnsi="Arial" w:cs="Arial"/>
          <w:sz w:val="24"/>
          <w:szCs w:val="24"/>
        </w:rPr>
      </w:pPr>
      <w:r w:rsidRPr="00EE4309">
        <w:rPr>
          <w:rFonts w:ascii="Arial" w:hAnsi="Arial" w:cs="Arial"/>
          <w:sz w:val="24"/>
          <w:szCs w:val="24"/>
        </w:rPr>
        <w:tab/>
        <w:t>Neither Sgt. 298 Butler nor Cpl. 3478 Rolle names appeared on the back of the V.B.I. as witnesses.</w:t>
      </w:r>
    </w:p>
    <w:p w:rsidR="0020525D" w:rsidRPr="00EE4309" w:rsidRDefault="0020525D" w:rsidP="00EE4309">
      <w:pPr>
        <w:jc w:val="both"/>
        <w:rPr>
          <w:rFonts w:ascii="Arial" w:hAnsi="Arial" w:cs="Arial"/>
          <w:sz w:val="24"/>
          <w:szCs w:val="24"/>
        </w:rPr>
      </w:pPr>
      <w:r w:rsidRPr="00EE4309">
        <w:rPr>
          <w:rFonts w:ascii="Arial" w:hAnsi="Arial" w:cs="Arial"/>
          <w:sz w:val="24"/>
          <w:szCs w:val="24"/>
        </w:rPr>
        <w:tab/>
        <w:t>Defence Counsel Stanley Rolle objected to the introduction of this evidence after the trial had commenced on the basics that the non-disclosure of this evidence to the Defence prior to the trial commencement was prejudicial to the Defence and</w:t>
      </w:r>
      <w:r w:rsidR="00867063" w:rsidRPr="00EE4309">
        <w:rPr>
          <w:rFonts w:ascii="Arial" w:hAnsi="Arial" w:cs="Arial"/>
          <w:sz w:val="24"/>
          <w:szCs w:val="24"/>
        </w:rPr>
        <w:t xml:space="preserve"> tantamount to “Trial by Ambush”.  He submitted that it would be an abuse of the Court’s process to allow the additional evidence at this late stage as the Defence would be de</w:t>
      </w:r>
      <w:r w:rsidR="009A0E1E" w:rsidRPr="00EE4309">
        <w:rPr>
          <w:rFonts w:ascii="Arial" w:hAnsi="Arial" w:cs="Arial"/>
          <w:sz w:val="24"/>
          <w:szCs w:val="24"/>
        </w:rPr>
        <w:t xml:space="preserve">prived of the proper time and </w:t>
      </w:r>
      <w:r w:rsidR="00B9595D">
        <w:rPr>
          <w:rFonts w:ascii="Arial" w:hAnsi="Arial" w:cs="Arial"/>
          <w:sz w:val="24"/>
          <w:szCs w:val="24"/>
        </w:rPr>
        <w:t>facilities</w:t>
      </w:r>
      <w:r w:rsidR="009A0E1E" w:rsidRPr="00B9595D">
        <w:rPr>
          <w:rFonts w:ascii="Arial" w:hAnsi="Arial" w:cs="Arial"/>
          <w:sz w:val="24"/>
          <w:szCs w:val="24"/>
        </w:rPr>
        <w:t xml:space="preserve"> </w:t>
      </w:r>
      <w:r w:rsidR="009A0E1E" w:rsidRPr="00EE4309">
        <w:rPr>
          <w:rFonts w:ascii="Arial" w:hAnsi="Arial" w:cs="Arial"/>
          <w:sz w:val="24"/>
          <w:szCs w:val="24"/>
        </w:rPr>
        <w:t>to prepare a Defence such as to seek an independent</w:t>
      </w:r>
      <w:r w:rsidR="0030744E" w:rsidRPr="00EE4309">
        <w:rPr>
          <w:rFonts w:ascii="Arial" w:hAnsi="Arial" w:cs="Arial"/>
          <w:sz w:val="24"/>
          <w:szCs w:val="24"/>
        </w:rPr>
        <w:t xml:space="preserve"> examination of the prints and to be able to properly cross-examine the Crown’s expert witness.  Particularly as the prints were not even disclosed in the</w:t>
      </w:r>
      <w:r w:rsidR="00B9595D">
        <w:rPr>
          <w:rFonts w:ascii="Arial" w:hAnsi="Arial" w:cs="Arial"/>
          <w:sz w:val="24"/>
          <w:szCs w:val="24"/>
        </w:rPr>
        <w:t xml:space="preserve"> Notice of Additional Evidence</w:t>
      </w:r>
      <w:r w:rsidR="0030744E" w:rsidRPr="00EE4309">
        <w:rPr>
          <w:rFonts w:ascii="Arial" w:hAnsi="Arial" w:cs="Arial"/>
          <w:sz w:val="24"/>
          <w:szCs w:val="24"/>
        </w:rPr>
        <w:t xml:space="preserve"> </w:t>
      </w:r>
      <w:r w:rsidR="00B9595D">
        <w:rPr>
          <w:rFonts w:ascii="Arial" w:hAnsi="Arial" w:cs="Arial"/>
          <w:sz w:val="24"/>
          <w:szCs w:val="24"/>
        </w:rPr>
        <w:t>(</w:t>
      </w:r>
      <w:r w:rsidR="0030744E" w:rsidRPr="00EE4309">
        <w:rPr>
          <w:rFonts w:ascii="Arial" w:hAnsi="Arial" w:cs="Arial"/>
          <w:sz w:val="24"/>
          <w:szCs w:val="24"/>
        </w:rPr>
        <w:t>NOAE</w:t>
      </w:r>
      <w:r w:rsidR="00B9595D">
        <w:rPr>
          <w:rFonts w:ascii="Arial" w:hAnsi="Arial" w:cs="Arial"/>
          <w:sz w:val="24"/>
          <w:szCs w:val="24"/>
        </w:rPr>
        <w:t>)</w:t>
      </w:r>
      <w:r w:rsidR="0030744E" w:rsidRPr="00EE4309">
        <w:rPr>
          <w:rFonts w:ascii="Arial" w:hAnsi="Arial" w:cs="Arial"/>
          <w:sz w:val="24"/>
          <w:szCs w:val="24"/>
        </w:rPr>
        <w:t xml:space="preserve"> as an exhibit.</w:t>
      </w:r>
    </w:p>
    <w:p w:rsidR="0030744E" w:rsidRPr="00EE4309" w:rsidRDefault="0030744E" w:rsidP="00EE4309">
      <w:pPr>
        <w:jc w:val="both"/>
        <w:rPr>
          <w:rFonts w:ascii="Arial" w:hAnsi="Arial" w:cs="Arial"/>
          <w:sz w:val="24"/>
          <w:szCs w:val="24"/>
        </w:rPr>
      </w:pPr>
      <w:r w:rsidRPr="00EE4309">
        <w:rPr>
          <w:rFonts w:ascii="Arial" w:hAnsi="Arial" w:cs="Arial"/>
          <w:sz w:val="24"/>
          <w:szCs w:val="24"/>
        </w:rPr>
        <w:tab/>
        <w:t xml:space="preserve">Defence Counsel also submitted that this evidence now sought to be led by the Crown was available to the Crown from October 2019 and notwithstanding requests by </w:t>
      </w:r>
      <w:r w:rsidRPr="00EE4309">
        <w:rPr>
          <w:rFonts w:ascii="Arial" w:hAnsi="Arial" w:cs="Arial"/>
          <w:sz w:val="24"/>
          <w:szCs w:val="24"/>
        </w:rPr>
        <w:lastRenderedPageBreak/>
        <w:t>the Defence in September of 2021 for disclosure of all relevant documents, the Prosecution</w:t>
      </w:r>
      <w:r w:rsidR="00AE365F" w:rsidRPr="00EE4309">
        <w:rPr>
          <w:rFonts w:ascii="Arial" w:hAnsi="Arial" w:cs="Arial"/>
          <w:sz w:val="24"/>
          <w:szCs w:val="24"/>
        </w:rPr>
        <w:t xml:space="preserve"> made no effort to disclose and produce the fingerprint evidence and it would be unfair to the Defence to allow this evidence at this late stage.</w:t>
      </w:r>
    </w:p>
    <w:p w:rsidR="00AE365F" w:rsidRPr="00EE4309" w:rsidRDefault="00AE365F" w:rsidP="00EE4309">
      <w:pPr>
        <w:jc w:val="both"/>
        <w:rPr>
          <w:rFonts w:ascii="Arial" w:hAnsi="Arial" w:cs="Arial"/>
          <w:sz w:val="24"/>
          <w:szCs w:val="24"/>
        </w:rPr>
      </w:pPr>
      <w:r w:rsidRPr="00EE4309">
        <w:rPr>
          <w:rFonts w:ascii="Arial" w:hAnsi="Arial" w:cs="Arial"/>
          <w:sz w:val="24"/>
          <w:szCs w:val="24"/>
        </w:rPr>
        <w:tab/>
        <w:t>Prosecution Counsel</w:t>
      </w:r>
      <w:r w:rsidR="00B9595D">
        <w:rPr>
          <w:rFonts w:ascii="Arial" w:hAnsi="Arial" w:cs="Arial"/>
          <w:sz w:val="24"/>
          <w:szCs w:val="24"/>
        </w:rPr>
        <w:t>,</w:t>
      </w:r>
      <w:r w:rsidRPr="00EE4309">
        <w:rPr>
          <w:rFonts w:ascii="Arial" w:hAnsi="Arial" w:cs="Arial"/>
          <w:sz w:val="24"/>
          <w:szCs w:val="24"/>
        </w:rPr>
        <w:t xml:space="preserve"> Mr. Kendal Carroll’s response was that while the notice to adduce the additional evidence was late, the evidence was cru</w:t>
      </w:r>
      <w:r w:rsidR="00B9595D">
        <w:rPr>
          <w:rFonts w:ascii="Arial" w:hAnsi="Arial" w:cs="Arial"/>
          <w:sz w:val="24"/>
          <w:szCs w:val="24"/>
        </w:rPr>
        <w:t>cial to the Crown’s case and it</w:t>
      </w:r>
      <w:r w:rsidRPr="00EE4309">
        <w:rPr>
          <w:rFonts w:ascii="Arial" w:hAnsi="Arial" w:cs="Arial"/>
          <w:sz w:val="24"/>
          <w:szCs w:val="24"/>
        </w:rPr>
        <w:t xml:space="preserve">s probative value outweighs any prejudicial effect </w:t>
      </w:r>
      <w:proofErr w:type="spellStart"/>
      <w:r w:rsidRPr="009C241E">
        <w:rPr>
          <w:rFonts w:ascii="Arial" w:hAnsi="Arial" w:cs="Arial"/>
          <w:sz w:val="24"/>
          <w:szCs w:val="24"/>
        </w:rPr>
        <w:t>enuring</w:t>
      </w:r>
      <w:proofErr w:type="spellEnd"/>
      <w:r w:rsidRPr="00EE4309">
        <w:rPr>
          <w:rFonts w:ascii="Arial" w:hAnsi="Arial" w:cs="Arial"/>
          <w:sz w:val="24"/>
          <w:szCs w:val="24"/>
        </w:rPr>
        <w:t xml:space="preserve"> to the Defence</w:t>
      </w:r>
      <w:r w:rsidR="00875570" w:rsidRPr="00EE4309">
        <w:rPr>
          <w:rFonts w:ascii="Arial" w:hAnsi="Arial" w:cs="Arial"/>
          <w:sz w:val="24"/>
          <w:szCs w:val="24"/>
        </w:rPr>
        <w:t>.</w:t>
      </w:r>
    </w:p>
    <w:p w:rsidR="00875570" w:rsidRPr="00EE4309" w:rsidRDefault="00B9595D" w:rsidP="00EE4309">
      <w:pPr>
        <w:jc w:val="both"/>
        <w:rPr>
          <w:rFonts w:ascii="Arial" w:hAnsi="Arial" w:cs="Arial"/>
          <w:sz w:val="24"/>
          <w:szCs w:val="24"/>
        </w:rPr>
      </w:pPr>
      <w:r>
        <w:rPr>
          <w:rFonts w:ascii="Arial" w:hAnsi="Arial" w:cs="Arial"/>
          <w:sz w:val="24"/>
          <w:szCs w:val="24"/>
        </w:rPr>
        <w:tab/>
        <w:t>Prosecution C</w:t>
      </w:r>
      <w:r w:rsidR="00875570" w:rsidRPr="00EE4309">
        <w:rPr>
          <w:rFonts w:ascii="Arial" w:hAnsi="Arial" w:cs="Arial"/>
          <w:sz w:val="24"/>
          <w:szCs w:val="24"/>
        </w:rPr>
        <w:t>ounsel also submitted that he was advised that the report of the fingerprint expert was just recently prepared and that, that was the reason for the</w:t>
      </w:r>
      <w:r>
        <w:rPr>
          <w:rFonts w:ascii="Arial" w:hAnsi="Arial" w:cs="Arial"/>
          <w:sz w:val="24"/>
          <w:szCs w:val="24"/>
        </w:rPr>
        <w:t xml:space="preserve"> late service of the Notice of A</w:t>
      </w:r>
      <w:r w:rsidR="00875570" w:rsidRPr="00EE4309">
        <w:rPr>
          <w:rFonts w:ascii="Arial" w:hAnsi="Arial" w:cs="Arial"/>
          <w:sz w:val="24"/>
          <w:szCs w:val="24"/>
        </w:rPr>
        <w:t>dditional Evidence.</w:t>
      </w:r>
    </w:p>
    <w:p w:rsidR="00875570" w:rsidRPr="00EE4309" w:rsidRDefault="00875570" w:rsidP="00EE4309">
      <w:pPr>
        <w:jc w:val="both"/>
        <w:rPr>
          <w:rFonts w:ascii="Arial" w:hAnsi="Arial" w:cs="Arial"/>
          <w:sz w:val="24"/>
          <w:szCs w:val="24"/>
        </w:rPr>
      </w:pPr>
      <w:r w:rsidRPr="00EE4309">
        <w:rPr>
          <w:rFonts w:ascii="Arial" w:hAnsi="Arial" w:cs="Arial"/>
          <w:sz w:val="24"/>
          <w:szCs w:val="24"/>
        </w:rPr>
        <w:tab/>
        <w:t xml:space="preserve">In determining whether to permit the Crown to adduce the evidence of the two (2) </w:t>
      </w:r>
      <w:r w:rsidR="00F45BE6" w:rsidRPr="00EE4309">
        <w:rPr>
          <w:rFonts w:ascii="Arial" w:hAnsi="Arial" w:cs="Arial"/>
          <w:sz w:val="24"/>
          <w:szCs w:val="24"/>
        </w:rPr>
        <w:t>Noti</w:t>
      </w:r>
      <w:r w:rsidR="00B9595D">
        <w:rPr>
          <w:rFonts w:ascii="Arial" w:hAnsi="Arial" w:cs="Arial"/>
          <w:sz w:val="24"/>
          <w:szCs w:val="24"/>
        </w:rPr>
        <w:t>ces of Additional Evidence, the C</w:t>
      </w:r>
      <w:r w:rsidR="00F45BE6" w:rsidRPr="00EE4309">
        <w:rPr>
          <w:rFonts w:ascii="Arial" w:hAnsi="Arial" w:cs="Arial"/>
          <w:sz w:val="24"/>
          <w:szCs w:val="24"/>
        </w:rPr>
        <w:t>ourt m</w:t>
      </w:r>
      <w:r w:rsidR="00B9595D">
        <w:rPr>
          <w:rFonts w:ascii="Arial" w:hAnsi="Arial" w:cs="Arial"/>
          <w:sz w:val="24"/>
          <w:szCs w:val="24"/>
        </w:rPr>
        <w:t>ust consider the provisions of S</w:t>
      </w:r>
      <w:r w:rsidR="00F45BE6" w:rsidRPr="00EE4309">
        <w:rPr>
          <w:rFonts w:ascii="Arial" w:hAnsi="Arial" w:cs="Arial"/>
          <w:sz w:val="24"/>
          <w:szCs w:val="24"/>
        </w:rPr>
        <w:t>ection 166 of the Criminal Procedure Code which governs the introduction of additional evidence.  This section provided:-</w:t>
      </w:r>
    </w:p>
    <w:p w:rsidR="00C22D52" w:rsidRPr="00B9595D" w:rsidRDefault="00C22D52" w:rsidP="00EE4309">
      <w:pPr>
        <w:jc w:val="both"/>
        <w:rPr>
          <w:rFonts w:ascii="Arial" w:hAnsi="Arial" w:cs="Arial"/>
          <w:b/>
          <w:i/>
          <w:sz w:val="20"/>
          <w:szCs w:val="20"/>
        </w:rPr>
      </w:pPr>
      <w:r w:rsidRPr="00EE4309">
        <w:rPr>
          <w:rFonts w:ascii="Arial" w:hAnsi="Arial" w:cs="Arial"/>
          <w:sz w:val="24"/>
          <w:szCs w:val="24"/>
        </w:rPr>
        <w:tab/>
      </w:r>
      <w:r w:rsidR="00F45BE6" w:rsidRPr="00EE4309">
        <w:rPr>
          <w:rFonts w:ascii="Arial" w:hAnsi="Arial" w:cs="Arial"/>
          <w:sz w:val="24"/>
          <w:szCs w:val="24"/>
        </w:rPr>
        <w:tab/>
      </w:r>
      <w:r w:rsidR="00F45BE6" w:rsidRPr="00B9595D">
        <w:rPr>
          <w:rFonts w:ascii="Arial" w:hAnsi="Arial" w:cs="Arial"/>
          <w:b/>
          <w:i/>
          <w:sz w:val="20"/>
          <w:szCs w:val="20"/>
        </w:rPr>
        <w:t>“</w:t>
      </w:r>
      <w:r w:rsidRPr="00B9595D">
        <w:rPr>
          <w:rFonts w:ascii="Arial" w:hAnsi="Arial" w:cs="Arial"/>
          <w:b/>
          <w:i/>
          <w:sz w:val="20"/>
          <w:szCs w:val="20"/>
        </w:rPr>
        <w:t>166.</w:t>
      </w:r>
      <w:r w:rsidRPr="00B9595D">
        <w:rPr>
          <w:rFonts w:ascii="Arial" w:hAnsi="Arial" w:cs="Arial"/>
          <w:b/>
          <w:i/>
          <w:sz w:val="20"/>
          <w:szCs w:val="20"/>
        </w:rPr>
        <w:tab/>
        <w:t xml:space="preserve">No witness who has not given evidence at the Preliminary Inquiry </w:t>
      </w:r>
      <w:r w:rsidR="00B9595D" w:rsidRPr="00B9595D">
        <w:rPr>
          <w:rFonts w:ascii="Arial" w:hAnsi="Arial" w:cs="Arial"/>
          <w:b/>
          <w:i/>
          <w:sz w:val="20"/>
          <w:szCs w:val="20"/>
        </w:rPr>
        <w:tab/>
      </w:r>
      <w:r w:rsidR="00B9595D" w:rsidRPr="00B9595D">
        <w:rPr>
          <w:rFonts w:ascii="Arial" w:hAnsi="Arial" w:cs="Arial"/>
          <w:b/>
          <w:i/>
          <w:sz w:val="20"/>
          <w:szCs w:val="20"/>
        </w:rPr>
        <w:tab/>
      </w:r>
      <w:r w:rsidR="00B9595D" w:rsidRPr="00B9595D">
        <w:rPr>
          <w:rFonts w:ascii="Arial" w:hAnsi="Arial" w:cs="Arial"/>
          <w:b/>
          <w:i/>
          <w:sz w:val="20"/>
          <w:szCs w:val="20"/>
        </w:rPr>
        <w:tab/>
      </w:r>
      <w:r w:rsidR="00B9595D" w:rsidRPr="00B9595D">
        <w:rPr>
          <w:rFonts w:ascii="Arial" w:hAnsi="Arial" w:cs="Arial"/>
          <w:b/>
          <w:i/>
          <w:sz w:val="20"/>
          <w:szCs w:val="20"/>
        </w:rPr>
        <w:tab/>
      </w:r>
      <w:r w:rsidR="00B9595D">
        <w:rPr>
          <w:rFonts w:ascii="Arial" w:hAnsi="Arial" w:cs="Arial"/>
          <w:b/>
          <w:i/>
          <w:sz w:val="20"/>
          <w:szCs w:val="20"/>
        </w:rPr>
        <w:tab/>
      </w:r>
      <w:r w:rsidRPr="00B9595D">
        <w:rPr>
          <w:rFonts w:ascii="Arial" w:hAnsi="Arial" w:cs="Arial"/>
          <w:b/>
          <w:i/>
          <w:sz w:val="20"/>
          <w:szCs w:val="20"/>
        </w:rPr>
        <w:t xml:space="preserve">shall be called by the </w:t>
      </w:r>
      <w:r w:rsidR="00F45BE6" w:rsidRPr="00B9595D">
        <w:rPr>
          <w:rFonts w:ascii="Arial" w:hAnsi="Arial" w:cs="Arial"/>
          <w:b/>
          <w:i/>
          <w:sz w:val="20"/>
          <w:szCs w:val="20"/>
        </w:rPr>
        <w:tab/>
      </w:r>
      <w:r w:rsidRPr="00B9595D">
        <w:rPr>
          <w:rFonts w:ascii="Arial" w:hAnsi="Arial" w:cs="Arial"/>
          <w:b/>
          <w:i/>
          <w:sz w:val="20"/>
          <w:szCs w:val="20"/>
        </w:rPr>
        <w:t xml:space="preserve">prosecution at any trial unless the accused person </w:t>
      </w:r>
      <w:r w:rsidR="00B9595D">
        <w:rPr>
          <w:rFonts w:ascii="Arial" w:hAnsi="Arial" w:cs="Arial"/>
          <w:b/>
          <w:i/>
          <w:sz w:val="20"/>
          <w:szCs w:val="20"/>
        </w:rPr>
        <w:tab/>
      </w:r>
      <w:r w:rsidR="00B9595D">
        <w:rPr>
          <w:rFonts w:ascii="Arial" w:hAnsi="Arial" w:cs="Arial"/>
          <w:b/>
          <w:i/>
          <w:sz w:val="20"/>
          <w:szCs w:val="20"/>
        </w:rPr>
        <w:tab/>
      </w:r>
      <w:r w:rsidR="00B9595D">
        <w:rPr>
          <w:rFonts w:ascii="Arial" w:hAnsi="Arial" w:cs="Arial"/>
          <w:b/>
          <w:i/>
          <w:sz w:val="20"/>
          <w:szCs w:val="20"/>
        </w:rPr>
        <w:tab/>
      </w:r>
      <w:r w:rsidR="00B9595D">
        <w:rPr>
          <w:rFonts w:ascii="Arial" w:hAnsi="Arial" w:cs="Arial"/>
          <w:b/>
          <w:i/>
          <w:sz w:val="20"/>
          <w:szCs w:val="20"/>
        </w:rPr>
        <w:tab/>
      </w:r>
      <w:r w:rsidRPr="00B9595D">
        <w:rPr>
          <w:rFonts w:ascii="Arial" w:hAnsi="Arial" w:cs="Arial"/>
          <w:b/>
          <w:i/>
          <w:sz w:val="20"/>
          <w:szCs w:val="20"/>
        </w:rPr>
        <w:t xml:space="preserve">has received reasonable notice in writing of the intention to call such </w:t>
      </w:r>
      <w:r w:rsidR="00B9595D">
        <w:rPr>
          <w:rFonts w:ascii="Arial" w:hAnsi="Arial" w:cs="Arial"/>
          <w:b/>
          <w:i/>
          <w:sz w:val="20"/>
          <w:szCs w:val="20"/>
        </w:rPr>
        <w:tab/>
      </w:r>
      <w:r w:rsidR="00B9595D">
        <w:rPr>
          <w:rFonts w:ascii="Arial" w:hAnsi="Arial" w:cs="Arial"/>
          <w:b/>
          <w:i/>
          <w:sz w:val="20"/>
          <w:szCs w:val="20"/>
        </w:rPr>
        <w:tab/>
      </w:r>
      <w:r w:rsidR="00B9595D">
        <w:rPr>
          <w:rFonts w:ascii="Arial" w:hAnsi="Arial" w:cs="Arial"/>
          <w:b/>
          <w:i/>
          <w:sz w:val="20"/>
          <w:szCs w:val="20"/>
        </w:rPr>
        <w:tab/>
      </w:r>
      <w:r w:rsidR="00B9595D">
        <w:rPr>
          <w:rFonts w:ascii="Arial" w:hAnsi="Arial" w:cs="Arial"/>
          <w:b/>
          <w:i/>
          <w:sz w:val="20"/>
          <w:szCs w:val="20"/>
        </w:rPr>
        <w:tab/>
      </w:r>
      <w:r w:rsidRPr="00B9595D">
        <w:rPr>
          <w:rFonts w:ascii="Arial" w:hAnsi="Arial" w:cs="Arial"/>
          <w:b/>
          <w:i/>
          <w:sz w:val="20"/>
          <w:szCs w:val="20"/>
        </w:rPr>
        <w:t>witness.</w:t>
      </w:r>
    </w:p>
    <w:p w:rsidR="00C22D52" w:rsidRPr="00B9595D" w:rsidRDefault="00C22D52" w:rsidP="00EE4309">
      <w:pPr>
        <w:jc w:val="both"/>
        <w:rPr>
          <w:rFonts w:ascii="Arial" w:hAnsi="Arial" w:cs="Arial"/>
          <w:b/>
          <w:i/>
          <w:sz w:val="20"/>
          <w:szCs w:val="20"/>
        </w:rPr>
      </w:pPr>
      <w:r w:rsidRPr="00B9595D">
        <w:rPr>
          <w:rFonts w:ascii="Arial" w:hAnsi="Arial" w:cs="Arial"/>
          <w:b/>
          <w:i/>
          <w:sz w:val="20"/>
          <w:szCs w:val="20"/>
        </w:rPr>
        <w:tab/>
      </w:r>
      <w:r w:rsidR="00B105F3" w:rsidRPr="00B9595D">
        <w:rPr>
          <w:rFonts w:ascii="Arial" w:hAnsi="Arial" w:cs="Arial"/>
          <w:b/>
          <w:i/>
          <w:sz w:val="20"/>
          <w:szCs w:val="20"/>
        </w:rPr>
        <w:tab/>
      </w:r>
      <w:r w:rsidR="00F45BE6" w:rsidRPr="00B9595D">
        <w:rPr>
          <w:rFonts w:ascii="Arial" w:hAnsi="Arial" w:cs="Arial"/>
          <w:b/>
          <w:i/>
          <w:sz w:val="20"/>
          <w:szCs w:val="20"/>
        </w:rPr>
        <w:tab/>
      </w:r>
      <w:r w:rsidRPr="00B9595D">
        <w:rPr>
          <w:rFonts w:ascii="Arial" w:hAnsi="Arial" w:cs="Arial"/>
          <w:b/>
          <w:i/>
          <w:sz w:val="20"/>
          <w:szCs w:val="20"/>
        </w:rPr>
        <w:t xml:space="preserve">Such notice must state the witness’s name and give the substance of the </w:t>
      </w:r>
      <w:r w:rsidR="00F45BE6" w:rsidRPr="00B9595D">
        <w:rPr>
          <w:rFonts w:ascii="Arial" w:hAnsi="Arial" w:cs="Arial"/>
          <w:b/>
          <w:i/>
          <w:sz w:val="20"/>
          <w:szCs w:val="20"/>
        </w:rPr>
        <w:tab/>
      </w:r>
      <w:r w:rsidR="00F45BE6" w:rsidRPr="00B9595D">
        <w:rPr>
          <w:rFonts w:ascii="Arial" w:hAnsi="Arial" w:cs="Arial"/>
          <w:b/>
          <w:i/>
          <w:sz w:val="20"/>
          <w:szCs w:val="20"/>
        </w:rPr>
        <w:tab/>
      </w:r>
      <w:r w:rsidR="00F45BE6" w:rsidRPr="00B9595D">
        <w:rPr>
          <w:rFonts w:ascii="Arial" w:hAnsi="Arial" w:cs="Arial"/>
          <w:b/>
          <w:i/>
          <w:sz w:val="20"/>
          <w:szCs w:val="20"/>
        </w:rPr>
        <w:tab/>
      </w:r>
      <w:r w:rsidR="00F45BE6" w:rsidRPr="00B9595D">
        <w:rPr>
          <w:rFonts w:ascii="Arial" w:hAnsi="Arial" w:cs="Arial"/>
          <w:b/>
          <w:i/>
          <w:sz w:val="20"/>
          <w:szCs w:val="20"/>
        </w:rPr>
        <w:tab/>
      </w:r>
      <w:r w:rsidRPr="00B9595D">
        <w:rPr>
          <w:rFonts w:ascii="Arial" w:hAnsi="Arial" w:cs="Arial"/>
          <w:b/>
          <w:i/>
          <w:sz w:val="20"/>
          <w:szCs w:val="20"/>
        </w:rPr>
        <w:t>evidence which he intends to give.  It shall be for the court to determine in</w:t>
      </w:r>
      <w:r w:rsidR="00E229CC">
        <w:rPr>
          <w:rFonts w:ascii="Arial" w:hAnsi="Arial" w:cs="Arial"/>
          <w:b/>
          <w:i/>
          <w:sz w:val="20"/>
          <w:szCs w:val="20"/>
        </w:rPr>
        <w:t xml:space="preserve"> </w:t>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t>any</w:t>
      </w:r>
      <w:r w:rsidRPr="00B9595D">
        <w:rPr>
          <w:rFonts w:ascii="Arial" w:hAnsi="Arial" w:cs="Arial"/>
          <w:b/>
          <w:i/>
          <w:sz w:val="20"/>
          <w:szCs w:val="20"/>
        </w:rPr>
        <w:t xml:space="preserve"> particular case what </w:t>
      </w:r>
      <w:r w:rsidR="007925B6" w:rsidRPr="00B9595D">
        <w:rPr>
          <w:rFonts w:ascii="Arial" w:hAnsi="Arial" w:cs="Arial"/>
          <w:b/>
          <w:i/>
          <w:sz w:val="20"/>
          <w:szCs w:val="20"/>
        </w:rPr>
        <w:t xml:space="preserve">notice is reasonable regard being had to the time </w:t>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r>
      <w:r w:rsidR="007925B6" w:rsidRPr="00B9595D">
        <w:rPr>
          <w:rFonts w:ascii="Arial" w:hAnsi="Arial" w:cs="Arial"/>
          <w:b/>
          <w:i/>
          <w:sz w:val="20"/>
          <w:szCs w:val="20"/>
        </w:rPr>
        <w:t xml:space="preserve">when and </w:t>
      </w:r>
      <w:r w:rsidR="00F45BE6" w:rsidRPr="00B9595D">
        <w:rPr>
          <w:rFonts w:ascii="Arial" w:hAnsi="Arial" w:cs="Arial"/>
          <w:b/>
          <w:i/>
          <w:sz w:val="20"/>
          <w:szCs w:val="20"/>
        </w:rPr>
        <w:t>the circumstances</w:t>
      </w:r>
      <w:r w:rsidR="007925B6" w:rsidRPr="00B9595D">
        <w:rPr>
          <w:rFonts w:ascii="Arial" w:hAnsi="Arial" w:cs="Arial"/>
          <w:b/>
          <w:i/>
          <w:sz w:val="20"/>
          <w:szCs w:val="20"/>
        </w:rPr>
        <w:t xml:space="preserve"> under which the prosecution became </w:t>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r>
      <w:r w:rsidR="007925B6" w:rsidRPr="00B9595D">
        <w:rPr>
          <w:rFonts w:ascii="Arial" w:hAnsi="Arial" w:cs="Arial"/>
          <w:b/>
          <w:i/>
          <w:sz w:val="20"/>
          <w:szCs w:val="20"/>
        </w:rPr>
        <w:t xml:space="preserve">acquainted with </w:t>
      </w:r>
      <w:r w:rsidR="00E229CC">
        <w:rPr>
          <w:rFonts w:ascii="Arial" w:hAnsi="Arial" w:cs="Arial"/>
          <w:b/>
          <w:i/>
          <w:sz w:val="20"/>
          <w:szCs w:val="20"/>
        </w:rPr>
        <w:t>t</w:t>
      </w:r>
      <w:r w:rsidR="007925B6" w:rsidRPr="00B9595D">
        <w:rPr>
          <w:rFonts w:ascii="Arial" w:hAnsi="Arial" w:cs="Arial"/>
          <w:b/>
          <w:i/>
          <w:sz w:val="20"/>
          <w:szCs w:val="20"/>
        </w:rPr>
        <w:t xml:space="preserve">he nature of the witness’s evidence and decided to call him </w:t>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r>
      <w:r w:rsidR="007925B6" w:rsidRPr="00B9595D">
        <w:rPr>
          <w:rFonts w:ascii="Arial" w:hAnsi="Arial" w:cs="Arial"/>
          <w:b/>
          <w:i/>
          <w:sz w:val="20"/>
          <w:szCs w:val="20"/>
        </w:rPr>
        <w:t>as a witness.</w:t>
      </w:r>
    </w:p>
    <w:p w:rsidR="007925B6" w:rsidRPr="00B9595D" w:rsidRDefault="007925B6" w:rsidP="00EE4309">
      <w:pPr>
        <w:jc w:val="both"/>
        <w:rPr>
          <w:rFonts w:ascii="Arial" w:hAnsi="Arial" w:cs="Arial"/>
          <w:b/>
          <w:i/>
          <w:sz w:val="20"/>
          <w:szCs w:val="20"/>
        </w:rPr>
      </w:pPr>
      <w:r w:rsidRPr="00B9595D">
        <w:rPr>
          <w:rFonts w:ascii="Arial" w:hAnsi="Arial" w:cs="Arial"/>
          <w:b/>
          <w:i/>
          <w:sz w:val="20"/>
          <w:szCs w:val="20"/>
        </w:rPr>
        <w:tab/>
      </w:r>
      <w:r w:rsidR="00B105F3" w:rsidRPr="00B9595D">
        <w:rPr>
          <w:rFonts w:ascii="Arial" w:hAnsi="Arial" w:cs="Arial"/>
          <w:b/>
          <w:i/>
          <w:sz w:val="20"/>
          <w:szCs w:val="20"/>
        </w:rPr>
        <w:tab/>
      </w:r>
      <w:r w:rsidR="00F45BE6" w:rsidRPr="00B9595D">
        <w:rPr>
          <w:rFonts w:ascii="Arial" w:hAnsi="Arial" w:cs="Arial"/>
          <w:b/>
          <w:i/>
          <w:sz w:val="20"/>
          <w:szCs w:val="20"/>
        </w:rPr>
        <w:tab/>
      </w:r>
      <w:r w:rsidRPr="00B9595D">
        <w:rPr>
          <w:rFonts w:ascii="Arial" w:hAnsi="Arial" w:cs="Arial"/>
          <w:b/>
          <w:i/>
          <w:sz w:val="20"/>
          <w:szCs w:val="20"/>
        </w:rPr>
        <w:t xml:space="preserve">Provided that when, under the provisions of section 120 of the code, the plan </w:t>
      </w:r>
      <w:r w:rsidR="00B9595D">
        <w:rPr>
          <w:rFonts w:ascii="Arial" w:hAnsi="Arial" w:cs="Arial"/>
          <w:b/>
          <w:i/>
          <w:sz w:val="20"/>
          <w:szCs w:val="20"/>
        </w:rPr>
        <w:tab/>
      </w:r>
      <w:r w:rsidR="00B9595D">
        <w:rPr>
          <w:rFonts w:ascii="Arial" w:hAnsi="Arial" w:cs="Arial"/>
          <w:b/>
          <w:i/>
          <w:sz w:val="20"/>
          <w:szCs w:val="20"/>
        </w:rPr>
        <w:tab/>
      </w:r>
      <w:r w:rsidR="00B9595D">
        <w:rPr>
          <w:rFonts w:ascii="Arial" w:hAnsi="Arial" w:cs="Arial"/>
          <w:b/>
          <w:i/>
          <w:sz w:val="20"/>
          <w:szCs w:val="20"/>
        </w:rPr>
        <w:tab/>
      </w:r>
      <w:r w:rsidRPr="00B9595D">
        <w:rPr>
          <w:rFonts w:ascii="Arial" w:hAnsi="Arial" w:cs="Arial"/>
          <w:b/>
          <w:i/>
          <w:sz w:val="20"/>
          <w:szCs w:val="20"/>
        </w:rPr>
        <w:t>of a survey or the report of a medical practitioner or an</w:t>
      </w:r>
      <w:r w:rsidR="00B105F3" w:rsidRPr="00B9595D">
        <w:rPr>
          <w:rFonts w:ascii="Arial" w:hAnsi="Arial" w:cs="Arial"/>
          <w:b/>
          <w:i/>
          <w:sz w:val="20"/>
          <w:szCs w:val="20"/>
        </w:rPr>
        <w:t xml:space="preserve">alyst has been </w:t>
      </w:r>
      <w:r w:rsidR="00B9595D">
        <w:rPr>
          <w:rFonts w:ascii="Arial" w:hAnsi="Arial" w:cs="Arial"/>
          <w:b/>
          <w:i/>
          <w:sz w:val="20"/>
          <w:szCs w:val="20"/>
        </w:rPr>
        <w:tab/>
      </w:r>
      <w:r w:rsidR="00B9595D">
        <w:rPr>
          <w:rFonts w:ascii="Arial" w:hAnsi="Arial" w:cs="Arial"/>
          <w:b/>
          <w:i/>
          <w:sz w:val="20"/>
          <w:szCs w:val="20"/>
        </w:rPr>
        <w:tab/>
      </w:r>
      <w:r w:rsidR="00B9595D">
        <w:rPr>
          <w:rFonts w:ascii="Arial" w:hAnsi="Arial" w:cs="Arial"/>
          <w:b/>
          <w:i/>
          <w:sz w:val="20"/>
          <w:szCs w:val="20"/>
        </w:rPr>
        <w:tab/>
      </w:r>
      <w:r w:rsidR="00B9595D">
        <w:rPr>
          <w:rFonts w:ascii="Arial" w:hAnsi="Arial" w:cs="Arial"/>
          <w:b/>
          <w:i/>
          <w:sz w:val="20"/>
          <w:szCs w:val="20"/>
        </w:rPr>
        <w:tab/>
      </w:r>
      <w:r w:rsidR="00B105F3" w:rsidRPr="00B9595D">
        <w:rPr>
          <w:rFonts w:ascii="Arial" w:hAnsi="Arial" w:cs="Arial"/>
          <w:b/>
          <w:i/>
          <w:sz w:val="20"/>
          <w:szCs w:val="20"/>
        </w:rPr>
        <w:t xml:space="preserve">tendered at preliminary inquiry it shall </w:t>
      </w:r>
      <w:r w:rsidR="00E229CC">
        <w:rPr>
          <w:rFonts w:ascii="Arial" w:hAnsi="Arial" w:cs="Arial"/>
          <w:b/>
          <w:i/>
          <w:sz w:val="20"/>
          <w:szCs w:val="20"/>
        </w:rPr>
        <w:t xml:space="preserve">not </w:t>
      </w:r>
      <w:r w:rsidR="00B105F3" w:rsidRPr="00B9595D">
        <w:rPr>
          <w:rFonts w:ascii="Arial" w:hAnsi="Arial" w:cs="Arial"/>
          <w:b/>
          <w:i/>
          <w:sz w:val="20"/>
          <w:szCs w:val="20"/>
        </w:rPr>
        <w:t xml:space="preserve">be necessary to the prosecution </w:t>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r>
      <w:r w:rsidR="00B105F3" w:rsidRPr="00B9595D">
        <w:rPr>
          <w:rFonts w:ascii="Arial" w:hAnsi="Arial" w:cs="Arial"/>
          <w:b/>
          <w:i/>
          <w:sz w:val="20"/>
          <w:szCs w:val="20"/>
        </w:rPr>
        <w:t xml:space="preserve">to </w:t>
      </w:r>
      <w:r w:rsidR="00B9595D">
        <w:rPr>
          <w:rFonts w:ascii="Arial" w:hAnsi="Arial" w:cs="Arial"/>
          <w:b/>
          <w:i/>
          <w:sz w:val="20"/>
          <w:szCs w:val="20"/>
        </w:rPr>
        <w:t xml:space="preserve">give notice of the </w:t>
      </w:r>
      <w:r w:rsidR="00B105F3" w:rsidRPr="00B9595D">
        <w:rPr>
          <w:rFonts w:ascii="Arial" w:hAnsi="Arial" w:cs="Arial"/>
          <w:b/>
          <w:i/>
          <w:sz w:val="20"/>
          <w:szCs w:val="20"/>
        </w:rPr>
        <w:t>in</w:t>
      </w:r>
      <w:r w:rsidR="00E229CC">
        <w:rPr>
          <w:rFonts w:ascii="Arial" w:hAnsi="Arial" w:cs="Arial"/>
          <w:b/>
          <w:i/>
          <w:sz w:val="20"/>
          <w:szCs w:val="20"/>
        </w:rPr>
        <w:t>tention to call any such survey or</w:t>
      </w:r>
      <w:r w:rsidR="00B105F3" w:rsidRPr="00B9595D">
        <w:rPr>
          <w:rFonts w:ascii="Arial" w:hAnsi="Arial" w:cs="Arial"/>
          <w:b/>
          <w:i/>
          <w:sz w:val="20"/>
          <w:szCs w:val="20"/>
        </w:rPr>
        <w:t xml:space="preserve"> medical practitioner </w:t>
      </w:r>
      <w:r w:rsidR="00E229CC">
        <w:rPr>
          <w:rFonts w:ascii="Arial" w:hAnsi="Arial" w:cs="Arial"/>
          <w:b/>
          <w:i/>
          <w:sz w:val="20"/>
          <w:szCs w:val="20"/>
        </w:rPr>
        <w:tab/>
      </w:r>
      <w:r w:rsidR="00E229CC">
        <w:rPr>
          <w:rFonts w:ascii="Arial" w:hAnsi="Arial" w:cs="Arial"/>
          <w:b/>
          <w:i/>
          <w:sz w:val="20"/>
          <w:szCs w:val="20"/>
        </w:rPr>
        <w:tab/>
      </w:r>
      <w:r w:rsidR="00E229CC">
        <w:rPr>
          <w:rFonts w:ascii="Arial" w:hAnsi="Arial" w:cs="Arial"/>
          <w:b/>
          <w:i/>
          <w:sz w:val="20"/>
          <w:szCs w:val="20"/>
        </w:rPr>
        <w:tab/>
      </w:r>
      <w:r w:rsidR="00B105F3" w:rsidRPr="00B9595D">
        <w:rPr>
          <w:rFonts w:ascii="Arial" w:hAnsi="Arial" w:cs="Arial"/>
          <w:b/>
          <w:i/>
          <w:sz w:val="20"/>
          <w:szCs w:val="20"/>
        </w:rPr>
        <w:t>or analyst as a witness at the trial of the information.</w:t>
      </w:r>
      <w:r w:rsidR="00B9595D">
        <w:rPr>
          <w:rFonts w:ascii="Arial" w:hAnsi="Arial" w:cs="Arial"/>
          <w:b/>
          <w:i/>
          <w:sz w:val="20"/>
          <w:szCs w:val="20"/>
        </w:rPr>
        <w:t>”</w:t>
      </w:r>
    </w:p>
    <w:p w:rsidR="00DC368E" w:rsidRPr="00EE4309" w:rsidRDefault="00714531" w:rsidP="00EE4309">
      <w:pPr>
        <w:jc w:val="both"/>
        <w:rPr>
          <w:rFonts w:ascii="Arial" w:hAnsi="Arial" w:cs="Arial"/>
          <w:sz w:val="24"/>
          <w:szCs w:val="24"/>
        </w:rPr>
      </w:pPr>
      <w:r w:rsidRPr="00EE4309">
        <w:rPr>
          <w:rFonts w:ascii="Arial" w:hAnsi="Arial" w:cs="Arial"/>
          <w:sz w:val="24"/>
          <w:szCs w:val="24"/>
        </w:rPr>
        <w:tab/>
        <w:t xml:space="preserve">The law requires that each of the Defendants receive </w:t>
      </w:r>
      <w:r w:rsidRPr="00EE4309">
        <w:rPr>
          <w:rFonts w:ascii="Arial" w:hAnsi="Arial" w:cs="Arial"/>
          <w:sz w:val="24"/>
          <w:szCs w:val="24"/>
          <w:u w:val="single"/>
        </w:rPr>
        <w:t xml:space="preserve">reasonable notice in writing, </w:t>
      </w:r>
      <w:r w:rsidRPr="00EE4309">
        <w:rPr>
          <w:rFonts w:ascii="Arial" w:hAnsi="Arial" w:cs="Arial"/>
          <w:sz w:val="24"/>
          <w:szCs w:val="24"/>
        </w:rPr>
        <w:t>having regard to the time when and the ci</w:t>
      </w:r>
      <w:r w:rsidR="00875570" w:rsidRPr="00EE4309">
        <w:rPr>
          <w:rFonts w:ascii="Arial" w:hAnsi="Arial" w:cs="Arial"/>
          <w:sz w:val="24"/>
          <w:szCs w:val="24"/>
        </w:rPr>
        <w:t>rcumstances under which the pros</w:t>
      </w:r>
      <w:r w:rsidRPr="00EE4309">
        <w:rPr>
          <w:rFonts w:ascii="Arial" w:hAnsi="Arial" w:cs="Arial"/>
          <w:sz w:val="24"/>
          <w:szCs w:val="24"/>
        </w:rPr>
        <w:t>ecutio</w:t>
      </w:r>
      <w:r w:rsidR="00C01D34" w:rsidRPr="00EE4309">
        <w:rPr>
          <w:rFonts w:ascii="Arial" w:hAnsi="Arial" w:cs="Arial"/>
          <w:sz w:val="24"/>
          <w:szCs w:val="24"/>
        </w:rPr>
        <w:t>n became acquainted with the nat</w:t>
      </w:r>
      <w:r w:rsidRPr="00EE4309">
        <w:rPr>
          <w:rFonts w:ascii="Arial" w:hAnsi="Arial" w:cs="Arial"/>
          <w:sz w:val="24"/>
          <w:szCs w:val="24"/>
        </w:rPr>
        <w:t>ure of the witness’s evidence and decided to call him as a witness.</w:t>
      </w:r>
    </w:p>
    <w:p w:rsidR="00DC368E" w:rsidRPr="00EE4309" w:rsidRDefault="00DC368E" w:rsidP="00EE4309">
      <w:pPr>
        <w:jc w:val="both"/>
        <w:rPr>
          <w:rFonts w:ascii="Arial" w:hAnsi="Arial" w:cs="Arial"/>
          <w:sz w:val="24"/>
          <w:szCs w:val="24"/>
        </w:rPr>
      </w:pPr>
      <w:r w:rsidRPr="00EE4309">
        <w:rPr>
          <w:rFonts w:ascii="Arial" w:hAnsi="Arial" w:cs="Arial"/>
          <w:sz w:val="24"/>
          <w:szCs w:val="24"/>
        </w:rPr>
        <w:tab/>
        <w:t>In this case the service of the Notice of Additional Evidence two (2) and three (3) days are commen</w:t>
      </w:r>
      <w:r w:rsidR="00443C33">
        <w:rPr>
          <w:rFonts w:ascii="Arial" w:hAnsi="Arial" w:cs="Arial"/>
          <w:sz w:val="24"/>
          <w:szCs w:val="24"/>
        </w:rPr>
        <w:t>cement of trial and after Case Management and Pre-T</w:t>
      </w:r>
      <w:r w:rsidRPr="00EE4309">
        <w:rPr>
          <w:rFonts w:ascii="Arial" w:hAnsi="Arial" w:cs="Arial"/>
          <w:sz w:val="24"/>
          <w:szCs w:val="24"/>
        </w:rPr>
        <w:t>rial hearing</w:t>
      </w:r>
      <w:r w:rsidR="00E229CC">
        <w:rPr>
          <w:rFonts w:ascii="Arial" w:hAnsi="Arial" w:cs="Arial"/>
          <w:sz w:val="24"/>
          <w:szCs w:val="24"/>
        </w:rPr>
        <w:t>s</w:t>
      </w:r>
      <w:r w:rsidRPr="00EE4309">
        <w:rPr>
          <w:rFonts w:ascii="Arial" w:hAnsi="Arial" w:cs="Arial"/>
          <w:sz w:val="24"/>
          <w:szCs w:val="24"/>
        </w:rPr>
        <w:t xml:space="preserve"> in which the Prosecution indicated to me that they were “ready” for the trial does not appear </w:t>
      </w:r>
      <w:r w:rsidR="00E229CC">
        <w:rPr>
          <w:rFonts w:ascii="Arial" w:hAnsi="Arial" w:cs="Arial"/>
          <w:sz w:val="24"/>
          <w:szCs w:val="24"/>
        </w:rPr>
        <w:t xml:space="preserve">to me </w:t>
      </w:r>
      <w:r w:rsidRPr="00EE4309">
        <w:rPr>
          <w:rFonts w:ascii="Arial" w:hAnsi="Arial" w:cs="Arial"/>
          <w:sz w:val="24"/>
          <w:szCs w:val="24"/>
        </w:rPr>
        <w:t>to be considered reasonable notice.</w:t>
      </w:r>
    </w:p>
    <w:p w:rsidR="00DC368E" w:rsidRPr="00EE4309" w:rsidRDefault="00DC368E" w:rsidP="00EE4309">
      <w:pPr>
        <w:jc w:val="both"/>
        <w:rPr>
          <w:rFonts w:ascii="Arial" w:hAnsi="Arial" w:cs="Arial"/>
          <w:sz w:val="24"/>
          <w:szCs w:val="24"/>
        </w:rPr>
      </w:pPr>
      <w:r w:rsidRPr="00EE4309">
        <w:rPr>
          <w:rFonts w:ascii="Arial" w:hAnsi="Arial" w:cs="Arial"/>
          <w:sz w:val="24"/>
          <w:szCs w:val="24"/>
        </w:rPr>
        <w:tab/>
        <w:t>The Constitution of The Bahamas Article 20 (C</w:t>
      </w:r>
      <w:r w:rsidR="00501AE9" w:rsidRPr="00EE4309">
        <w:rPr>
          <w:rFonts w:ascii="Arial" w:hAnsi="Arial" w:cs="Arial"/>
          <w:sz w:val="24"/>
          <w:szCs w:val="24"/>
        </w:rPr>
        <w:t>) guara</w:t>
      </w:r>
      <w:r w:rsidRPr="00EE4309">
        <w:rPr>
          <w:rFonts w:ascii="Arial" w:hAnsi="Arial" w:cs="Arial"/>
          <w:sz w:val="24"/>
          <w:szCs w:val="24"/>
        </w:rPr>
        <w:t>ntees the right</w:t>
      </w:r>
      <w:r w:rsidR="00EC6620">
        <w:rPr>
          <w:rFonts w:ascii="Arial" w:hAnsi="Arial" w:cs="Arial"/>
          <w:sz w:val="24"/>
          <w:szCs w:val="24"/>
        </w:rPr>
        <w:t xml:space="preserve"> of every A</w:t>
      </w:r>
      <w:r w:rsidRPr="00EE4309">
        <w:rPr>
          <w:rFonts w:ascii="Arial" w:hAnsi="Arial" w:cs="Arial"/>
          <w:sz w:val="24"/>
          <w:szCs w:val="24"/>
        </w:rPr>
        <w:t>ccused person to “Ade</w:t>
      </w:r>
      <w:r w:rsidR="00501AE9" w:rsidRPr="00EE4309">
        <w:rPr>
          <w:rFonts w:ascii="Arial" w:hAnsi="Arial" w:cs="Arial"/>
          <w:sz w:val="24"/>
          <w:szCs w:val="24"/>
        </w:rPr>
        <w:t>q</w:t>
      </w:r>
      <w:r w:rsidRPr="00EE4309">
        <w:rPr>
          <w:rFonts w:ascii="Arial" w:hAnsi="Arial" w:cs="Arial"/>
          <w:sz w:val="24"/>
          <w:szCs w:val="24"/>
        </w:rPr>
        <w:t>uate time and facilities for preparation of the Defence”.</w:t>
      </w:r>
    </w:p>
    <w:p w:rsidR="00501AE9" w:rsidRPr="00EE4309" w:rsidRDefault="00501AE9" w:rsidP="00EE4309">
      <w:pPr>
        <w:jc w:val="both"/>
        <w:rPr>
          <w:rFonts w:ascii="Arial" w:hAnsi="Arial" w:cs="Arial"/>
          <w:sz w:val="24"/>
          <w:szCs w:val="24"/>
        </w:rPr>
      </w:pPr>
      <w:r w:rsidRPr="00EE4309">
        <w:rPr>
          <w:rFonts w:ascii="Arial" w:hAnsi="Arial" w:cs="Arial"/>
          <w:sz w:val="24"/>
          <w:szCs w:val="24"/>
        </w:rPr>
        <w:tab/>
      </w:r>
      <w:r w:rsidR="00EC6620">
        <w:rPr>
          <w:rFonts w:ascii="Arial" w:hAnsi="Arial" w:cs="Arial"/>
          <w:sz w:val="24"/>
          <w:szCs w:val="24"/>
        </w:rPr>
        <w:t>Section 166 of the C.P.C. states</w:t>
      </w:r>
      <w:r w:rsidRPr="00EE4309">
        <w:rPr>
          <w:rFonts w:ascii="Arial" w:hAnsi="Arial" w:cs="Arial"/>
          <w:sz w:val="24"/>
          <w:szCs w:val="24"/>
        </w:rPr>
        <w:t xml:space="preserve"> that the Accused must be given “Reasonable Notice”.</w:t>
      </w:r>
      <w:r w:rsidRPr="00EE4309">
        <w:rPr>
          <w:rFonts w:ascii="Arial" w:hAnsi="Arial" w:cs="Arial"/>
          <w:sz w:val="24"/>
          <w:szCs w:val="24"/>
        </w:rPr>
        <w:tab/>
      </w:r>
    </w:p>
    <w:p w:rsidR="00501AE9" w:rsidRPr="00EE4309" w:rsidRDefault="00501AE9" w:rsidP="00EE4309">
      <w:pPr>
        <w:jc w:val="both"/>
        <w:rPr>
          <w:rFonts w:ascii="Arial" w:hAnsi="Arial" w:cs="Arial"/>
          <w:sz w:val="24"/>
          <w:szCs w:val="24"/>
        </w:rPr>
      </w:pPr>
      <w:r w:rsidRPr="00EE4309">
        <w:rPr>
          <w:rFonts w:ascii="Arial" w:hAnsi="Arial" w:cs="Arial"/>
          <w:sz w:val="24"/>
          <w:szCs w:val="24"/>
        </w:rPr>
        <w:lastRenderedPageBreak/>
        <w:tab/>
        <w:t>These Statutory and Constitutional provision</w:t>
      </w:r>
      <w:r w:rsidR="00E229CC">
        <w:rPr>
          <w:rFonts w:ascii="Arial" w:hAnsi="Arial" w:cs="Arial"/>
          <w:sz w:val="24"/>
          <w:szCs w:val="24"/>
        </w:rPr>
        <w:t>s</w:t>
      </w:r>
      <w:r w:rsidRPr="00EE4309">
        <w:rPr>
          <w:rFonts w:ascii="Arial" w:hAnsi="Arial" w:cs="Arial"/>
          <w:sz w:val="24"/>
          <w:szCs w:val="24"/>
        </w:rPr>
        <w:t xml:space="preserve"> are not placed there in vain.  They are placed there primarily to ensure that an Accused person receives a fair trial and is not confronted with</w:t>
      </w:r>
      <w:r w:rsidR="00E229CC">
        <w:rPr>
          <w:rFonts w:ascii="Arial" w:hAnsi="Arial" w:cs="Arial"/>
          <w:sz w:val="24"/>
          <w:szCs w:val="24"/>
        </w:rPr>
        <w:t xml:space="preserve"> or by new evidence which he has</w:t>
      </w:r>
      <w:r w:rsidRPr="00EE4309">
        <w:rPr>
          <w:rFonts w:ascii="Arial" w:hAnsi="Arial" w:cs="Arial"/>
          <w:sz w:val="24"/>
          <w:szCs w:val="24"/>
        </w:rPr>
        <w:t xml:space="preserve"> not had tim</w:t>
      </w:r>
      <w:r w:rsidR="00047B8B" w:rsidRPr="00EE4309">
        <w:rPr>
          <w:rFonts w:ascii="Arial" w:hAnsi="Arial" w:cs="Arial"/>
          <w:sz w:val="24"/>
          <w:szCs w:val="24"/>
        </w:rPr>
        <w:t>e</w:t>
      </w:r>
      <w:r w:rsidRPr="00EE4309">
        <w:rPr>
          <w:rFonts w:ascii="Arial" w:hAnsi="Arial" w:cs="Arial"/>
          <w:sz w:val="24"/>
          <w:szCs w:val="24"/>
        </w:rPr>
        <w:t xml:space="preserve"> to prepare for.</w:t>
      </w:r>
    </w:p>
    <w:p w:rsidR="00047B8B" w:rsidRPr="00EE4309" w:rsidRDefault="00501AE9" w:rsidP="00EE4309">
      <w:pPr>
        <w:jc w:val="both"/>
        <w:rPr>
          <w:rFonts w:ascii="Arial" w:hAnsi="Arial" w:cs="Arial"/>
          <w:sz w:val="24"/>
          <w:szCs w:val="24"/>
        </w:rPr>
      </w:pPr>
      <w:r w:rsidRPr="00EE4309">
        <w:rPr>
          <w:rFonts w:ascii="Arial" w:hAnsi="Arial" w:cs="Arial"/>
          <w:sz w:val="24"/>
          <w:szCs w:val="24"/>
        </w:rPr>
        <w:tab/>
        <w:t xml:space="preserve">With respect to each of the Notices of Additional </w:t>
      </w:r>
      <w:r w:rsidR="00047B8B" w:rsidRPr="00EE4309">
        <w:rPr>
          <w:rFonts w:ascii="Arial" w:hAnsi="Arial" w:cs="Arial"/>
          <w:sz w:val="24"/>
          <w:szCs w:val="24"/>
        </w:rPr>
        <w:t>Evidence the Court notes that Sgt. Butler’s report is dated 17</w:t>
      </w:r>
      <w:r w:rsidR="00047B8B" w:rsidRPr="00EE4309">
        <w:rPr>
          <w:rFonts w:ascii="Arial" w:hAnsi="Arial" w:cs="Arial"/>
          <w:sz w:val="24"/>
          <w:szCs w:val="24"/>
          <w:vertAlign w:val="superscript"/>
        </w:rPr>
        <w:t>th</w:t>
      </w:r>
      <w:r w:rsidR="00047B8B" w:rsidRPr="00EE4309">
        <w:rPr>
          <w:rFonts w:ascii="Arial" w:hAnsi="Arial" w:cs="Arial"/>
          <w:sz w:val="24"/>
          <w:szCs w:val="24"/>
        </w:rPr>
        <w:t xml:space="preserve"> October, 2019 which would be the date that her examination of the submitted prints was completed, and that Cpl. Rolle’s report was dated 15</w:t>
      </w:r>
      <w:r w:rsidR="00047B8B" w:rsidRPr="00EE4309">
        <w:rPr>
          <w:rFonts w:ascii="Arial" w:hAnsi="Arial" w:cs="Arial"/>
          <w:sz w:val="24"/>
          <w:szCs w:val="24"/>
          <w:vertAlign w:val="superscript"/>
        </w:rPr>
        <w:t>th</w:t>
      </w:r>
      <w:r w:rsidR="00047B8B" w:rsidRPr="00EE4309">
        <w:rPr>
          <w:rFonts w:ascii="Arial" w:hAnsi="Arial" w:cs="Arial"/>
          <w:sz w:val="24"/>
          <w:szCs w:val="24"/>
        </w:rPr>
        <w:t xml:space="preserve"> October, 2019.</w:t>
      </w:r>
    </w:p>
    <w:p w:rsidR="00501AE9" w:rsidRPr="00EE4309" w:rsidRDefault="00047B8B" w:rsidP="00EE4309">
      <w:pPr>
        <w:jc w:val="both"/>
        <w:rPr>
          <w:rFonts w:ascii="Arial" w:hAnsi="Arial" w:cs="Arial"/>
          <w:sz w:val="24"/>
          <w:szCs w:val="24"/>
        </w:rPr>
      </w:pPr>
      <w:r w:rsidRPr="00EE4309">
        <w:rPr>
          <w:rFonts w:ascii="Arial" w:hAnsi="Arial" w:cs="Arial"/>
          <w:sz w:val="24"/>
          <w:szCs w:val="24"/>
        </w:rPr>
        <w:tab/>
        <w:t>Both of these witnesses</w:t>
      </w:r>
      <w:r w:rsidR="00EC6620">
        <w:rPr>
          <w:rFonts w:ascii="Arial" w:hAnsi="Arial" w:cs="Arial"/>
          <w:sz w:val="24"/>
          <w:szCs w:val="24"/>
        </w:rPr>
        <w:t>’</w:t>
      </w:r>
      <w:r w:rsidRPr="00EE4309">
        <w:rPr>
          <w:rFonts w:ascii="Arial" w:hAnsi="Arial" w:cs="Arial"/>
          <w:sz w:val="24"/>
          <w:szCs w:val="24"/>
        </w:rPr>
        <w:t xml:space="preserve"> statements should have been available to the Prosecution from October, 2019 particularly </w:t>
      </w:r>
      <w:r w:rsidR="00EC6620">
        <w:rPr>
          <w:rFonts w:ascii="Arial" w:hAnsi="Arial" w:cs="Arial"/>
          <w:sz w:val="24"/>
          <w:szCs w:val="24"/>
        </w:rPr>
        <w:t>as these were important to the C</w:t>
      </w:r>
      <w:r w:rsidRPr="00EE4309">
        <w:rPr>
          <w:rFonts w:ascii="Arial" w:hAnsi="Arial" w:cs="Arial"/>
          <w:sz w:val="24"/>
          <w:szCs w:val="24"/>
        </w:rPr>
        <w:t>rown’s case.</w:t>
      </w:r>
    </w:p>
    <w:p w:rsidR="00047B8B" w:rsidRPr="00EE4309" w:rsidRDefault="00047B8B" w:rsidP="00EE4309">
      <w:pPr>
        <w:jc w:val="both"/>
        <w:rPr>
          <w:rFonts w:ascii="Arial" w:hAnsi="Arial" w:cs="Arial"/>
          <w:sz w:val="24"/>
          <w:szCs w:val="24"/>
        </w:rPr>
      </w:pPr>
      <w:r w:rsidRPr="00EE4309">
        <w:rPr>
          <w:rFonts w:ascii="Arial" w:hAnsi="Arial" w:cs="Arial"/>
          <w:sz w:val="24"/>
          <w:szCs w:val="24"/>
        </w:rPr>
        <w:tab/>
        <w:t xml:space="preserve">Neither the Accused nor his Counsel were advised by the Crown regarding the </w:t>
      </w:r>
      <w:r w:rsidR="00EC6620" w:rsidRPr="00EC6620">
        <w:rPr>
          <w:rFonts w:ascii="Arial" w:hAnsi="Arial" w:cs="Arial"/>
          <w:sz w:val="24"/>
          <w:szCs w:val="24"/>
        </w:rPr>
        <w:t>existence</w:t>
      </w:r>
      <w:r w:rsidRPr="00EC6620">
        <w:rPr>
          <w:rFonts w:ascii="Arial" w:hAnsi="Arial" w:cs="Arial"/>
          <w:sz w:val="24"/>
          <w:szCs w:val="24"/>
        </w:rPr>
        <w:t xml:space="preserve"> </w:t>
      </w:r>
      <w:r w:rsidR="006A4AEF" w:rsidRPr="00EE4309">
        <w:rPr>
          <w:rFonts w:ascii="Arial" w:hAnsi="Arial" w:cs="Arial"/>
          <w:sz w:val="24"/>
          <w:szCs w:val="24"/>
        </w:rPr>
        <w:t>of these witnesses.</w:t>
      </w:r>
    </w:p>
    <w:p w:rsidR="006A4AEF" w:rsidRPr="00EE4309" w:rsidRDefault="006A4AEF" w:rsidP="00EE4309">
      <w:pPr>
        <w:jc w:val="both"/>
        <w:rPr>
          <w:rFonts w:ascii="Arial" w:hAnsi="Arial" w:cs="Arial"/>
          <w:sz w:val="24"/>
          <w:szCs w:val="24"/>
        </w:rPr>
      </w:pPr>
      <w:r w:rsidRPr="00EE4309">
        <w:rPr>
          <w:rFonts w:ascii="Arial" w:hAnsi="Arial" w:cs="Arial"/>
          <w:sz w:val="24"/>
          <w:szCs w:val="24"/>
        </w:rPr>
        <w:tab/>
        <w:t>I have considered the cases cited by both Counsel for the Crown and Counsel for the Accused.</w:t>
      </w:r>
    </w:p>
    <w:p w:rsidR="006A4AEF" w:rsidRPr="00EE4309" w:rsidRDefault="00EC6620" w:rsidP="00EE4309">
      <w:pPr>
        <w:jc w:val="both"/>
        <w:rPr>
          <w:rFonts w:ascii="Arial" w:hAnsi="Arial" w:cs="Arial"/>
          <w:sz w:val="24"/>
          <w:szCs w:val="24"/>
        </w:rPr>
      </w:pPr>
      <w:r>
        <w:rPr>
          <w:rFonts w:ascii="Arial" w:hAnsi="Arial" w:cs="Arial"/>
          <w:sz w:val="24"/>
          <w:szCs w:val="24"/>
        </w:rPr>
        <w:tab/>
        <w:t>I do not consider that the N</w:t>
      </w:r>
      <w:r w:rsidR="006A4AEF" w:rsidRPr="00EE4309">
        <w:rPr>
          <w:rFonts w:ascii="Arial" w:hAnsi="Arial" w:cs="Arial"/>
          <w:sz w:val="24"/>
          <w:szCs w:val="24"/>
        </w:rPr>
        <w:t>otice of Evidence was reasonable having regard to the time when the evidence was compiled by the police and the service after commencement of trial.</w:t>
      </w:r>
    </w:p>
    <w:p w:rsidR="006A4AEF" w:rsidRPr="00EE4309" w:rsidRDefault="00197927" w:rsidP="00EE4309">
      <w:pPr>
        <w:jc w:val="both"/>
        <w:rPr>
          <w:rFonts w:ascii="Arial" w:hAnsi="Arial" w:cs="Arial"/>
          <w:sz w:val="24"/>
          <w:szCs w:val="24"/>
        </w:rPr>
      </w:pPr>
      <w:r w:rsidRPr="00EE4309">
        <w:rPr>
          <w:rFonts w:ascii="Arial" w:hAnsi="Arial" w:cs="Arial"/>
          <w:sz w:val="24"/>
          <w:szCs w:val="24"/>
        </w:rPr>
        <w:tab/>
        <w:t>I am also of the view that</w:t>
      </w:r>
      <w:r w:rsidR="00337245" w:rsidRPr="00EE4309">
        <w:rPr>
          <w:rFonts w:ascii="Arial" w:hAnsi="Arial" w:cs="Arial"/>
          <w:sz w:val="24"/>
          <w:szCs w:val="24"/>
        </w:rPr>
        <w:t xml:space="preserve">, while “relevant evidence” should generally be allowed in criminal trials to allow this evidence would affect the </w:t>
      </w:r>
      <w:r w:rsidRPr="00EE4309">
        <w:rPr>
          <w:rFonts w:ascii="Arial" w:hAnsi="Arial" w:cs="Arial"/>
          <w:sz w:val="24"/>
          <w:szCs w:val="24"/>
        </w:rPr>
        <w:t>f</w:t>
      </w:r>
      <w:r w:rsidR="00337245" w:rsidRPr="00EE4309">
        <w:rPr>
          <w:rFonts w:ascii="Arial" w:hAnsi="Arial" w:cs="Arial"/>
          <w:sz w:val="24"/>
          <w:szCs w:val="24"/>
        </w:rPr>
        <w:t>airness of the trial</w:t>
      </w:r>
      <w:r w:rsidRPr="00EE4309">
        <w:rPr>
          <w:rFonts w:ascii="Arial" w:hAnsi="Arial" w:cs="Arial"/>
          <w:sz w:val="24"/>
          <w:szCs w:val="24"/>
        </w:rPr>
        <w:t>.</w:t>
      </w:r>
    </w:p>
    <w:p w:rsidR="00197927" w:rsidRPr="00EE4309" w:rsidRDefault="008D63AB" w:rsidP="00EE4309">
      <w:pPr>
        <w:jc w:val="both"/>
        <w:rPr>
          <w:rFonts w:ascii="Arial" w:hAnsi="Arial" w:cs="Arial"/>
          <w:sz w:val="24"/>
          <w:szCs w:val="24"/>
        </w:rPr>
      </w:pPr>
      <w:r w:rsidRPr="00EE4309">
        <w:rPr>
          <w:rFonts w:ascii="Arial" w:hAnsi="Arial" w:cs="Arial"/>
          <w:sz w:val="24"/>
          <w:szCs w:val="24"/>
        </w:rPr>
        <w:tab/>
      </w:r>
      <w:r w:rsidR="00EC6620">
        <w:rPr>
          <w:rFonts w:ascii="Arial" w:hAnsi="Arial" w:cs="Arial"/>
          <w:sz w:val="24"/>
          <w:szCs w:val="24"/>
        </w:rPr>
        <w:t>It cannot be over</w:t>
      </w:r>
      <w:r w:rsidR="00EC6620" w:rsidRPr="00EE4309">
        <w:rPr>
          <w:rFonts w:ascii="Arial" w:hAnsi="Arial" w:cs="Arial"/>
          <w:sz w:val="24"/>
          <w:szCs w:val="24"/>
        </w:rPr>
        <w:t>state</w:t>
      </w:r>
      <w:r w:rsidR="00EC6620">
        <w:rPr>
          <w:rFonts w:ascii="Arial" w:hAnsi="Arial" w:cs="Arial"/>
          <w:sz w:val="24"/>
          <w:szCs w:val="24"/>
        </w:rPr>
        <w:t>d</w:t>
      </w:r>
      <w:r w:rsidR="00EC6620" w:rsidRPr="00EE4309">
        <w:rPr>
          <w:rFonts w:ascii="Arial" w:hAnsi="Arial" w:cs="Arial"/>
          <w:sz w:val="24"/>
          <w:szCs w:val="24"/>
        </w:rPr>
        <w:t xml:space="preserve"> that</w:t>
      </w:r>
      <w:r w:rsidR="00197927" w:rsidRPr="00EE4309">
        <w:rPr>
          <w:rFonts w:ascii="Arial" w:hAnsi="Arial" w:cs="Arial"/>
          <w:sz w:val="24"/>
          <w:szCs w:val="24"/>
        </w:rPr>
        <w:t xml:space="preserve"> proper and timely disclosure of relevant evidence must be done in criminal cases</w:t>
      </w:r>
      <w:r w:rsidR="00EC6620">
        <w:rPr>
          <w:rFonts w:ascii="Arial" w:hAnsi="Arial" w:cs="Arial"/>
          <w:sz w:val="24"/>
          <w:szCs w:val="24"/>
        </w:rPr>
        <w:t>.  Fairness in criminal t</w:t>
      </w:r>
      <w:r w:rsidRPr="00EE4309">
        <w:rPr>
          <w:rFonts w:ascii="Arial" w:hAnsi="Arial" w:cs="Arial"/>
          <w:sz w:val="24"/>
          <w:szCs w:val="24"/>
        </w:rPr>
        <w:t>rials means fairness to both the Prosecution and the Defence.</w:t>
      </w:r>
    </w:p>
    <w:p w:rsidR="008D63AB" w:rsidRPr="00EE4309" w:rsidRDefault="008D63AB" w:rsidP="00EE4309">
      <w:pPr>
        <w:jc w:val="both"/>
        <w:rPr>
          <w:rFonts w:ascii="Arial" w:hAnsi="Arial" w:cs="Arial"/>
          <w:b/>
          <w:i/>
          <w:sz w:val="24"/>
          <w:szCs w:val="24"/>
        </w:rPr>
      </w:pPr>
      <w:r w:rsidRPr="00EE4309">
        <w:rPr>
          <w:rFonts w:ascii="Arial" w:hAnsi="Arial" w:cs="Arial"/>
          <w:sz w:val="24"/>
          <w:szCs w:val="24"/>
        </w:rPr>
        <w:tab/>
        <w:t xml:space="preserve">As was said by </w:t>
      </w:r>
      <w:proofErr w:type="spellStart"/>
      <w:r w:rsidRPr="00EE4309">
        <w:rPr>
          <w:rFonts w:ascii="Arial" w:hAnsi="Arial" w:cs="Arial"/>
          <w:b/>
          <w:i/>
          <w:sz w:val="24"/>
          <w:szCs w:val="24"/>
        </w:rPr>
        <w:t>DaCosta</w:t>
      </w:r>
      <w:proofErr w:type="spellEnd"/>
      <w:r w:rsidRPr="00EE4309">
        <w:rPr>
          <w:rFonts w:ascii="Arial" w:hAnsi="Arial" w:cs="Arial"/>
          <w:b/>
          <w:i/>
          <w:sz w:val="24"/>
          <w:szCs w:val="24"/>
        </w:rPr>
        <w:t xml:space="preserve"> J in R. v Flowers Bahamas Supreme Court </w:t>
      </w:r>
      <w:r w:rsidR="00D11689">
        <w:rPr>
          <w:rFonts w:ascii="Arial" w:hAnsi="Arial" w:cs="Arial"/>
          <w:b/>
          <w:i/>
          <w:sz w:val="24"/>
          <w:szCs w:val="24"/>
        </w:rPr>
        <w:tab/>
      </w:r>
      <w:r w:rsidRPr="00EE4309">
        <w:rPr>
          <w:rFonts w:ascii="Arial" w:hAnsi="Arial" w:cs="Arial"/>
          <w:b/>
          <w:i/>
          <w:sz w:val="24"/>
          <w:szCs w:val="24"/>
        </w:rPr>
        <w:t>95/10/1979.</w:t>
      </w:r>
    </w:p>
    <w:p w:rsidR="008D63AB" w:rsidRPr="00EC6620" w:rsidRDefault="008D63AB" w:rsidP="00EE4309">
      <w:pPr>
        <w:jc w:val="both"/>
        <w:rPr>
          <w:rFonts w:ascii="Arial" w:hAnsi="Arial" w:cs="Arial"/>
          <w:b/>
          <w:sz w:val="20"/>
          <w:szCs w:val="20"/>
        </w:rPr>
      </w:pPr>
      <w:r w:rsidRPr="00EE4309">
        <w:rPr>
          <w:rFonts w:ascii="Arial" w:hAnsi="Arial" w:cs="Arial"/>
          <w:sz w:val="24"/>
          <w:szCs w:val="24"/>
        </w:rPr>
        <w:tab/>
      </w:r>
      <w:r w:rsidRPr="00EE4309">
        <w:rPr>
          <w:rFonts w:ascii="Arial" w:hAnsi="Arial" w:cs="Arial"/>
          <w:sz w:val="24"/>
          <w:szCs w:val="24"/>
        </w:rPr>
        <w:tab/>
      </w:r>
      <w:r w:rsidRPr="00EE4309">
        <w:rPr>
          <w:rFonts w:ascii="Arial" w:hAnsi="Arial" w:cs="Arial"/>
          <w:sz w:val="24"/>
          <w:szCs w:val="24"/>
        </w:rPr>
        <w:tab/>
      </w:r>
      <w:r w:rsidRPr="00EC6620">
        <w:rPr>
          <w:rFonts w:ascii="Arial" w:hAnsi="Arial" w:cs="Arial"/>
          <w:b/>
          <w:sz w:val="20"/>
          <w:szCs w:val="20"/>
        </w:rPr>
        <w:t>“The case before me is one in which no explanat</w:t>
      </w:r>
      <w:r w:rsidR="00EC6620">
        <w:rPr>
          <w:rFonts w:ascii="Arial" w:hAnsi="Arial" w:cs="Arial"/>
          <w:b/>
          <w:sz w:val="20"/>
          <w:szCs w:val="20"/>
        </w:rPr>
        <w:t xml:space="preserve">ion has been offered by the </w:t>
      </w:r>
      <w:r w:rsidR="00EC6620">
        <w:rPr>
          <w:rFonts w:ascii="Arial" w:hAnsi="Arial" w:cs="Arial"/>
          <w:b/>
          <w:sz w:val="20"/>
          <w:szCs w:val="20"/>
        </w:rPr>
        <w:tab/>
      </w:r>
      <w:r w:rsidR="00EC6620">
        <w:rPr>
          <w:rFonts w:ascii="Arial" w:hAnsi="Arial" w:cs="Arial"/>
          <w:b/>
          <w:sz w:val="20"/>
          <w:szCs w:val="20"/>
        </w:rPr>
        <w:tab/>
      </w:r>
      <w:r w:rsidR="00EC6620">
        <w:rPr>
          <w:rFonts w:ascii="Arial" w:hAnsi="Arial" w:cs="Arial"/>
          <w:b/>
          <w:sz w:val="20"/>
          <w:szCs w:val="20"/>
        </w:rPr>
        <w:tab/>
      </w:r>
      <w:r w:rsidRPr="00EC6620">
        <w:rPr>
          <w:rFonts w:ascii="Arial" w:hAnsi="Arial" w:cs="Arial"/>
          <w:b/>
          <w:sz w:val="20"/>
          <w:szCs w:val="20"/>
        </w:rPr>
        <w:t xml:space="preserve">Crown as to why evidence which appears to have been known or at least </w:t>
      </w:r>
      <w:r w:rsidRPr="00EC6620">
        <w:rPr>
          <w:rFonts w:ascii="Arial" w:hAnsi="Arial" w:cs="Arial"/>
          <w:b/>
          <w:sz w:val="20"/>
          <w:szCs w:val="20"/>
        </w:rPr>
        <w:tab/>
      </w:r>
      <w:r w:rsidRPr="00EC6620">
        <w:rPr>
          <w:rFonts w:ascii="Arial" w:hAnsi="Arial" w:cs="Arial"/>
          <w:b/>
          <w:sz w:val="20"/>
          <w:szCs w:val="20"/>
        </w:rPr>
        <w:tab/>
      </w:r>
      <w:r w:rsidRPr="00EC6620">
        <w:rPr>
          <w:rFonts w:ascii="Arial" w:hAnsi="Arial" w:cs="Arial"/>
          <w:b/>
          <w:sz w:val="20"/>
          <w:szCs w:val="20"/>
        </w:rPr>
        <w:tab/>
      </w:r>
      <w:r w:rsidRPr="00EC6620">
        <w:rPr>
          <w:rFonts w:ascii="Arial" w:hAnsi="Arial" w:cs="Arial"/>
          <w:b/>
          <w:sz w:val="20"/>
          <w:szCs w:val="20"/>
        </w:rPr>
        <w:tab/>
        <w:t xml:space="preserve">forthcoming </w:t>
      </w:r>
      <w:r w:rsidR="00E229CC">
        <w:rPr>
          <w:rFonts w:ascii="Arial" w:hAnsi="Arial" w:cs="Arial"/>
          <w:b/>
          <w:sz w:val="20"/>
          <w:szCs w:val="20"/>
        </w:rPr>
        <w:t xml:space="preserve">at </w:t>
      </w:r>
      <w:r w:rsidRPr="00EC6620">
        <w:rPr>
          <w:rFonts w:ascii="Arial" w:hAnsi="Arial" w:cs="Arial"/>
          <w:b/>
          <w:sz w:val="20"/>
          <w:szCs w:val="20"/>
        </w:rPr>
        <w:t xml:space="preserve">the Preliminary Inquiry, was not led there.  I refuse to allow it to </w:t>
      </w:r>
      <w:r w:rsidR="00EC6620">
        <w:rPr>
          <w:rFonts w:ascii="Arial" w:hAnsi="Arial" w:cs="Arial"/>
          <w:b/>
          <w:sz w:val="20"/>
          <w:szCs w:val="20"/>
        </w:rPr>
        <w:tab/>
      </w:r>
      <w:r w:rsidR="00EC6620">
        <w:rPr>
          <w:rFonts w:ascii="Arial" w:hAnsi="Arial" w:cs="Arial"/>
          <w:b/>
          <w:sz w:val="20"/>
          <w:szCs w:val="20"/>
        </w:rPr>
        <w:tab/>
      </w:r>
      <w:r w:rsidR="00EC6620">
        <w:rPr>
          <w:rFonts w:ascii="Arial" w:hAnsi="Arial" w:cs="Arial"/>
          <w:b/>
          <w:sz w:val="20"/>
          <w:szCs w:val="20"/>
        </w:rPr>
        <w:tab/>
        <w:t xml:space="preserve">be </w:t>
      </w:r>
      <w:r w:rsidRPr="00EC6620">
        <w:rPr>
          <w:rFonts w:ascii="Arial" w:hAnsi="Arial" w:cs="Arial"/>
          <w:b/>
          <w:sz w:val="20"/>
          <w:szCs w:val="20"/>
        </w:rPr>
        <w:t>adduced as additional evidence at this stage”.</w:t>
      </w:r>
    </w:p>
    <w:p w:rsidR="008D63AB" w:rsidRPr="00EE4309" w:rsidRDefault="00D11689" w:rsidP="00EE4309">
      <w:pPr>
        <w:jc w:val="both"/>
        <w:rPr>
          <w:rFonts w:ascii="Arial" w:hAnsi="Arial" w:cs="Arial"/>
          <w:sz w:val="24"/>
          <w:szCs w:val="24"/>
        </w:rPr>
      </w:pPr>
      <w:r>
        <w:rPr>
          <w:rFonts w:ascii="Arial" w:hAnsi="Arial" w:cs="Arial"/>
          <w:sz w:val="24"/>
          <w:szCs w:val="24"/>
        </w:rPr>
        <w:tab/>
        <w:t>I also refer</w:t>
      </w:r>
      <w:r w:rsidR="008D63AB" w:rsidRPr="00EE4309">
        <w:rPr>
          <w:rFonts w:ascii="Arial" w:hAnsi="Arial" w:cs="Arial"/>
          <w:sz w:val="24"/>
          <w:szCs w:val="24"/>
        </w:rPr>
        <w:t xml:space="preserve"> to the comment of the late </w:t>
      </w:r>
      <w:r w:rsidR="008D63AB" w:rsidRPr="00EC6620">
        <w:rPr>
          <w:rFonts w:ascii="Arial" w:hAnsi="Arial" w:cs="Arial"/>
          <w:b/>
          <w:i/>
          <w:sz w:val="24"/>
          <w:szCs w:val="24"/>
          <w:u w:val="single"/>
        </w:rPr>
        <w:t xml:space="preserve">Senior Justice Stephen Isaacs in R. v Bain, McKenzie and </w:t>
      </w:r>
      <w:proofErr w:type="spellStart"/>
      <w:r w:rsidR="008D63AB" w:rsidRPr="00EC6620">
        <w:rPr>
          <w:rFonts w:ascii="Arial" w:hAnsi="Arial" w:cs="Arial"/>
          <w:b/>
          <w:i/>
          <w:sz w:val="24"/>
          <w:szCs w:val="24"/>
          <w:u w:val="single"/>
        </w:rPr>
        <w:t>Nottage</w:t>
      </w:r>
      <w:proofErr w:type="spellEnd"/>
      <w:r w:rsidR="008D63AB" w:rsidRPr="00EC6620">
        <w:rPr>
          <w:rFonts w:ascii="Arial" w:hAnsi="Arial" w:cs="Arial"/>
          <w:b/>
          <w:i/>
          <w:sz w:val="24"/>
          <w:szCs w:val="24"/>
          <w:u w:val="single"/>
        </w:rPr>
        <w:t xml:space="preserve"> Bahamas Supreme Court 96/9/2008</w:t>
      </w:r>
      <w:r w:rsidR="008D63AB" w:rsidRPr="00EE4309">
        <w:rPr>
          <w:rFonts w:ascii="Arial" w:hAnsi="Arial" w:cs="Arial"/>
          <w:i/>
          <w:sz w:val="24"/>
          <w:szCs w:val="24"/>
          <w:u w:val="single"/>
        </w:rPr>
        <w:t xml:space="preserve"> </w:t>
      </w:r>
      <w:r w:rsidR="008D63AB" w:rsidRPr="00EE4309">
        <w:rPr>
          <w:rFonts w:ascii="Arial" w:hAnsi="Arial" w:cs="Arial"/>
          <w:sz w:val="24"/>
          <w:szCs w:val="24"/>
        </w:rPr>
        <w:t xml:space="preserve">where he stated. </w:t>
      </w:r>
    </w:p>
    <w:p w:rsidR="008D63AB" w:rsidRPr="00D11689" w:rsidRDefault="008D63AB" w:rsidP="00EE4309">
      <w:pPr>
        <w:jc w:val="both"/>
        <w:rPr>
          <w:rFonts w:ascii="Arial" w:hAnsi="Arial" w:cs="Arial"/>
          <w:b/>
          <w:sz w:val="20"/>
          <w:szCs w:val="20"/>
        </w:rPr>
      </w:pPr>
      <w:r w:rsidRPr="00EE4309">
        <w:rPr>
          <w:rFonts w:ascii="Arial" w:hAnsi="Arial" w:cs="Arial"/>
          <w:sz w:val="24"/>
          <w:szCs w:val="24"/>
        </w:rPr>
        <w:tab/>
      </w:r>
      <w:r w:rsidRPr="00EE4309">
        <w:rPr>
          <w:rFonts w:ascii="Arial" w:hAnsi="Arial" w:cs="Arial"/>
          <w:sz w:val="24"/>
          <w:szCs w:val="24"/>
        </w:rPr>
        <w:tab/>
      </w:r>
      <w:r w:rsidRPr="00EE4309">
        <w:rPr>
          <w:rFonts w:ascii="Arial" w:hAnsi="Arial" w:cs="Arial"/>
          <w:sz w:val="24"/>
          <w:szCs w:val="24"/>
        </w:rPr>
        <w:tab/>
      </w:r>
      <w:r w:rsidRPr="00D11689">
        <w:rPr>
          <w:rFonts w:ascii="Arial" w:hAnsi="Arial" w:cs="Arial"/>
          <w:b/>
          <w:sz w:val="20"/>
          <w:szCs w:val="20"/>
        </w:rPr>
        <w:t xml:space="preserve">“…. Service of a Notice of Additional Evidence after a trial commences is to </w:t>
      </w:r>
      <w:r w:rsidR="00D11689">
        <w:rPr>
          <w:rFonts w:ascii="Arial" w:hAnsi="Arial" w:cs="Arial"/>
          <w:b/>
          <w:sz w:val="20"/>
          <w:szCs w:val="20"/>
        </w:rPr>
        <w:tab/>
      </w:r>
      <w:r w:rsidR="00D11689">
        <w:rPr>
          <w:rFonts w:ascii="Arial" w:hAnsi="Arial" w:cs="Arial"/>
          <w:b/>
          <w:sz w:val="20"/>
          <w:szCs w:val="20"/>
        </w:rPr>
        <w:tab/>
      </w:r>
      <w:r w:rsidR="00D11689">
        <w:rPr>
          <w:rFonts w:ascii="Arial" w:hAnsi="Arial" w:cs="Arial"/>
          <w:b/>
          <w:sz w:val="20"/>
          <w:szCs w:val="20"/>
        </w:rPr>
        <w:tab/>
      </w:r>
      <w:r w:rsidRPr="00D11689">
        <w:rPr>
          <w:rFonts w:ascii="Arial" w:hAnsi="Arial" w:cs="Arial"/>
          <w:b/>
          <w:sz w:val="20"/>
          <w:szCs w:val="20"/>
        </w:rPr>
        <w:t xml:space="preserve">be disapproved generally, and the Crown appropriately chastised for such </w:t>
      </w:r>
      <w:r w:rsidR="00D11689">
        <w:rPr>
          <w:rFonts w:ascii="Arial" w:hAnsi="Arial" w:cs="Arial"/>
          <w:b/>
          <w:sz w:val="20"/>
          <w:szCs w:val="20"/>
        </w:rPr>
        <w:tab/>
      </w:r>
      <w:r w:rsidR="00D11689">
        <w:rPr>
          <w:rFonts w:ascii="Arial" w:hAnsi="Arial" w:cs="Arial"/>
          <w:b/>
          <w:sz w:val="20"/>
          <w:szCs w:val="20"/>
        </w:rPr>
        <w:tab/>
      </w:r>
      <w:r w:rsidR="00D11689">
        <w:rPr>
          <w:rFonts w:ascii="Arial" w:hAnsi="Arial" w:cs="Arial"/>
          <w:b/>
          <w:sz w:val="20"/>
          <w:szCs w:val="20"/>
        </w:rPr>
        <w:tab/>
      </w:r>
      <w:r w:rsidR="00D11689">
        <w:rPr>
          <w:rFonts w:ascii="Arial" w:hAnsi="Arial" w:cs="Arial"/>
          <w:b/>
          <w:sz w:val="20"/>
          <w:szCs w:val="20"/>
        </w:rPr>
        <w:tab/>
      </w:r>
      <w:r w:rsidRPr="00D11689">
        <w:rPr>
          <w:rFonts w:ascii="Arial" w:hAnsi="Arial" w:cs="Arial"/>
          <w:b/>
          <w:sz w:val="20"/>
          <w:szCs w:val="20"/>
        </w:rPr>
        <w:t>conduct…</w:t>
      </w:r>
      <w:r w:rsidR="00EC6620" w:rsidRPr="00D11689">
        <w:rPr>
          <w:rFonts w:ascii="Arial" w:hAnsi="Arial" w:cs="Arial"/>
          <w:b/>
          <w:sz w:val="20"/>
          <w:szCs w:val="20"/>
        </w:rPr>
        <w:t>”</w:t>
      </w:r>
    </w:p>
    <w:p w:rsidR="008D63AB" w:rsidRPr="00EE4309" w:rsidRDefault="008D63AB" w:rsidP="00EE4309">
      <w:pPr>
        <w:jc w:val="both"/>
        <w:rPr>
          <w:rFonts w:ascii="Arial" w:hAnsi="Arial" w:cs="Arial"/>
          <w:sz w:val="24"/>
          <w:szCs w:val="24"/>
        </w:rPr>
      </w:pPr>
      <w:r w:rsidRPr="00EE4309">
        <w:rPr>
          <w:rFonts w:ascii="Arial" w:hAnsi="Arial" w:cs="Arial"/>
          <w:sz w:val="24"/>
          <w:szCs w:val="24"/>
        </w:rPr>
        <w:tab/>
        <w:t>In all of the c</w:t>
      </w:r>
      <w:r w:rsidR="00330016" w:rsidRPr="00EE4309">
        <w:rPr>
          <w:rFonts w:ascii="Arial" w:hAnsi="Arial" w:cs="Arial"/>
          <w:sz w:val="24"/>
          <w:szCs w:val="24"/>
        </w:rPr>
        <w:t>ircumstances</w:t>
      </w:r>
      <w:r w:rsidR="00D11689">
        <w:rPr>
          <w:rFonts w:ascii="Arial" w:hAnsi="Arial" w:cs="Arial"/>
          <w:sz w:val="24"/>
          <w:szCs w:val="24"/>
        </w:rPr>
        <w:t>,</w:t>
      </w:r>
      <w:r w:rsidR="00330016" w:rsidRPr="00EE4309">
        <w:rPr>
          <w:rFonts w:ascii="Arial" w:hAnsi="Arial" w:cs="Arial"/>
          <w:sz w:val="24"/>
          <w:szCs w:val="24"/>
        </w:rPr>
        <w:t xml:space="preserve"> I find that the No</w:t>
      </w:r>
      <w:r w:rsidRPr="00EE4309">
        <w:rPr>
          <w:rFonts w:ascii="Arial" w:hAnsi="Arial" w:cs="Arial"/>
          <w:sz w:val="24"/>
          <w:szCs w:val="24"/>
        </w:rPr>
        <w:t xml:space="preserve">tices are not reasonable </w:t>
      </w:r>
      <w:r w:rsidR="00330016" w:rsidRPr="00EE4309">
        <w:rPr>
          <w:rFonts w:ascii="Arial" w:hAnsi="Arial" w:cs="Arial"/>
          <w:sz w:val="24"/>
          <w:szCs w:val="24"/>
        </w:rPr>
        <w:t>and will not allow the Prosecution to call the two (2) additional witnesses.</w:t>
      </w:r>
    </w:p>
    <w:p w:rsidR="00330016" w:rsidRPr="00EE4309" w:rsidRDefault="00330016" w:rsidP="00EE4309">
      <w:pPr>
        <w:jc w:val="both"/>
        <w:rPr>
          <w:rFonts w:ascii="Arial" w:hAnsi="Arial" w:cs="Arial"/>
          <w:sz w:val="24"/>
          <w:szCs w:val="24"/>
        </w:rPr>
      </w:pPr>
    </w:p>
    <w:p w:rsidR="00330016" w:rsidRPr="00EE4309" w:rsidRDefault="00330016"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330016" w:rsidRPr="0093361F" w:rsidRDefault="00330016" w:rsidP="0093361F">
      <w:pPr>
        <w:jc w:val="center"/>
        <w:rPr>
          <w:rFonts w:ascii="Arial" w:hAnsi="Arial" w:cs="Arial"/>
          <w:b/>
          <w:i/>
          <w:sz w:val="24"/>
          <w:szCs w:val="24"/>
        </w:rPr>
      </w:pPr>
      <w:r w:rsidRPr="0093361F">
        <w:rPr>
          <w:rFonts w:ascii="Arial" w:hAnsi="Arial" w:cs="Arial"/>
          <w:b/>
          <w:i/>
          <w:sz w:val="24"/>
          <w:szCs w:val="24"/>
        </w:rPr>
        <w:t>Dated this 12</w:t>
      </w:r>
      <w:r w:rsidRPr="0093361F">
        <w:rPr>
          <w:rFonts w:ascii="Arial" w:hAnsi="Arial" w:cs="Arial"/>
          <w:b/>
          <w:i/>
          <w:sz w:val="24"/>
          <w:szCs w:val="24"/>
          <w:vertAlign w:val="superscript"/>
        </w:rPr>
        <w:t>th</w:t>
      </w:r>
      <w:r w:rsidRPr="0093361F">
        <w:rPr>
          <w:rFonts w:ascii="Arial" w:hAnsi="Arial" w:cs="Arial"/>
          <w:b/>
          <w:i/>
          <w:sz w:val="24"/>
          <w:szCs w:val="24"/>
        </w:rPr>
        <w:t xml:space="preserve"> day of August, 2022</w:t>
      </w:r>
    </w:p>
    <w:p w:rsidR="00330016" w:rsidRPr="0093361F" w:rsidRDefault="00330016" w:rsidP="0093361F">
      <w:pPr>
        <w:jc w:val="center"/>
        <w:rPr>
          <w:rFonts w:ascii="Arial" w:hAnsi="Arial" w:cs="Arial"/>
          <w:b/>
          <w:i/>
          <w:sz w:val="24"/>
          <w:szCs w:val="24"/>
        </w:rPr>
      </w:pPr>
    </w:p>
    <w:p w:rsidR="00330016" w:rsidRPr="0093361F" w:rsidRDefault="00330016" w:rsidP="0093361F">
      <w:pPr>
        <w:jc w:val="center"/>
        <w:rPr>
          <w:rFonts w:ascii="Arial" w:hAnsi="Arial" w:cs="Arial"/>
          <w:b/>
          <w:i/>
          <w:sz w:val="24"/>
          <w:szCs w:val="24"/>
        </w:rPr>
      </w:pPr>
    </w:p>
    <w:p w:rsidR="00330016" w:rsidRPr="0093361F" w:rsidRDefault="00330016" w:rsidP="0093361F">
      <w:pPr>
        <w:jc w:val="center"/>
        <w:rPr>
          <w:rFonts w:ascii="Arial" w:hAnsi="Arial" w:cs="Arial"/>
          <w:b/>
          <w:i/>
          <w:sz w:val="24"/>
          <w:szCs w:val="24"/>
        </w:rPr>
      </w:pPr>
    </w:p>
    <w:p w:rsidR="00330016" w:rsidRPr="0093361F" w:rsidRDefault="00330016" w:rsidP="0093361F">
      <w:pPr>
        <w:contextualSpacing/>
        <w:jc w:val="center"/>
        <w:rPr>
          <w:rFonts w:ascii="Arial" w:hAnsi="Arial" w:cs="Arial"/>
          <w:b/>
          <w:i/>
          <w:sz w:val="24"/>
          <w:szCs w:val="24"/>
        </w:rPr>
      </w:pPr>
      <w:r w:rsidRPr="0093361F">
        <w:rPr>
          <w:rFonts w:ascii="Arial" w:hAnsi="Arial" w:cs="Arial"/>
          <w:b/>
          <w:i/>
          <w:sz w:val="24"/>
          <w:szCs w:val="24"/>
        </w:rPr>
        <w:t>Gregory Hilton</w:t>
      </w:r>
    </w:p>
    <w:p w:rsidR="00330016" w:rsidRPr="0093361F" w:rsidRDefault="00330016" w:rsidP="0093361F">
      <w:pPr>
        <w:contextualSpacing/>
        <w:jc w:val="center"/>
        <w:rPr>
          <w:rFonts w:ascii="Arial" w:hAnsi="Arial" w:cs="Arial"/>
          <w:b/>
          <w:i/>
          <w:sz w:val="24"/>
          <w:szCs w:val="24"/>
        </w:rPr>
      </w:pPr>
      <w:r w:rsidRPr="0093361F">
        <w:rPr>
          <w:rFonts w:ascii="Arial" w:hAnsi="Arial" w:cs="Arial"/>
          <w:b/>
          <w:i/>
          <w:sz w:val="24"/>
          <w:szCs w:val="24"/>
        </w:rPr>
        <w:t>Justice of Supreme Court</w:t>
      </w:r>
    </w:p>
    <w:p w:rsidR="006A4AEF" w:rsidRPr="0093361F" w:rsidRDefault="006A4AEF" w:rsidP="0093361F">
      <w:pPr>
        <w:contextualSpacing/>
        <w:jc w:val="center"/>
        <w:rPr>
          <w:rFonts w:ascii="Arial" w:hAnsi="Arial" w:cs="Arial"/>
          <w:b/>
          <w:i/>
          <w:sz w:val="24"/>
          <w:szCs w:val="24"/>
        </w:rPr>
      </w:pPr>
    </w:p>
    <w:p w:rsidR="00501AE9" w:rsidRPr="00EE4309" w:rsidRDefault="00501AE9" w:rsidP="00EE4309">
      <w:pPr>
        <w:jc w:val="both"/>
        <w:rPr>
          <w:rFonts w:ascii="Arial" w:hAnsi="Arial" w:cs="Arial"/>
          <w:sz w:val="24"/>
          <w:szCs w:val="24"/>
        </w:rPr>
      </w:pPr>
    </w:p>
    <w:p w:rsidR="00DC368E" w:rsidRDefault="00DC368E"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Default="0093361F" w:rsidP="00EE4309">
      <w:pPr>
        <w:jc w:val="both"/>
        <w:rPr>
          <w:rFonts w:ascii="Arial" w:hAnsi="Arial" w:cs="Arial"/>
          <w:sz w:val="24"/>
          <w:szCs w:val="24"/>
        </w:rPr>
      </w:pPr>
    </w:p>
    <w:p w:rsidR="0093361F" w:rsidRPr="00EE4309" w:rsidRDefault="0093361F" w:rsidP="00EE4309">
      <w:pPr>
        <w:jc w:val="both"/>
        <w:rPr>
          <w:rFonts w:ascii="Arial" w:hAnsi="Arial" w:cs="Arial"/>
          <w:sz w:val="24"/>
          <w:szCs w:val="24"/>
        </w:rPr>
      </w:pPr>
    </w:p>
    <w:p w:rsidR="0093361F" w:rsidRPr="0093361F" w:rsidRDefault="0093361F" w:rsidP="0093361F">
      <w:pPr>
        <w:tabs>
          <w:tab w:val="left" w:pos="2530"/>
          <w:tab w:val="center" w:pos="4680"/>
        </w:tabs>
        <w:jc w:val="center"/>
        <w:rPr>
          <w:rFonts w:ascii="Arial" w:hAnsi="Arial" w:cs="Arial"/>
          <w:b/>
          <w:sz w:val="12"/>
          <w:szCs w:val="12"/>
        </w:rPr>
      </w:pPr>
      <w:proofErr w:type="gramStart"/>
      <w:r w:rsidRPr="0093361F">
        <w:rPr>
          <w:rFonts w:ascii="Arial" w:hAnsi="Arial" w:cs="Arial"/>
          <w:b/>
          <w:sz w:val="12"/>
          <w:szCs w:val="12"/>
        </w:rPr>
        <w:t>REGINA  vs</w:t>
      </w:r>
      <w:proofErr w:type="gramEnd"/>
      <w:r w:rsidRPr="0093361F">
        <w:rPr>
          <w:rFonts w:ascii="Arial" w:hAnsi="Arial" w:cs="Arial"/>
          <w:b/>
          <w:sz w:val="12"/>
          <w:szCs w:val="12"/>
        </w:rPr>
        <w:t xml:space="preserve">  DENNARJAE JOHNSON                             </w:t>
      </w:r>
      <w:r>
        <w:rPr>
          <w:rFonts w:ascii="Arial" w:hAnsi="Arial" w:cs="Arial"/>
          <w:b/>
          <w:sz w:val="12"/>
          <w:szCs w:val="12"/>
        </w:rPr>
        <w:t xml:space="preserve">                                                     </w:t>
      </w:r>
      <w:r w:rsidRPr="0093361F">
        <w:rPr>
          <w:rFonts w:ascii="Arial" w:hAnsi="Arial" w:cs="Arial"/>
          <w:b/>
          <w:sz w:val="12"/>
          <w:szCs w:val="12"/>
        </w:rPr>
        <w:t xml:space="preserve"> CRI/</w:t>
      </w:r>
      <w:proofErr w:type="spellStart"/>
      <w:r w:rsidRPr="0093361F">
        <w:rPr>
          <w:rFonts w:ascii="Arial" w:hAnsi="Arial" w:cs="Arial"/>
          <w:b/>
          <w:sz w:val="12"/>
          <w:szCs w:val="12"/>
        </w:rPr>
        <w:t>vbi</w:t>
      </w:r>
      <w:proofErr w:type="spellEnd"/>
      <w:r w:rsidRPr="0093361F">
        <w:rPr>
          <w:rFonts w:ascii="Arial" w:hAnsi="Arial" w:cs="Arial"/>
          <w:b/>
          <w:sz w:val="12"/>
          <w:szCs w:val="12"/>
        </w:rPr>
        <w:t>/203/10/2019</w:t>
      </w:r>
    </w:p>
    <w:p w:rsidR="0033604A" w:rsidRPr="00EE4309" w:rsidRDefault="0033604A" w:rsidP="00EE4309">
      <w:pPr>
        <w:jc w:val="both"/>
        <w:rPr>
          <w:rFonts w:ascii="Arial" w:hAnsi="Arial" w:cs="Arial"/>
          <w:sz w:val="24"/>
          <w:szCs w:val="24"/>
        </w:rPr>
      </w:pPr>
    </w:p>
    <w:sectPr w:rsidR="0033604A" w:rsidRPr="00EE43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B53" w:rsidRDefault="00C27B53" w:rsidP="00C27B53">
      <w:pPr>
        <w:spacing w:after="0" w:line="240" w:lineRule="auto"/>
      </w:pPr>
      <w:r>
        <w:separator/>
      </w:r>
    </w:p>
  </w:endnote>
  <w:endnote w:type="continuationSeparator" w:id="0">
    <w:p w:rsidR="00C27B53" w:rsidRDefault="00C27B53" w:rsidP="00C2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507818"/>
      <w:docPartObj>
        <w:docPartGallery w:val="Page Numbers (Bottom of Page)"/>
        <w:docPartUnique/>
      </w:docPartObj>
    </w:sdtPr>
    <w:sdtEndPr>
      <w:rPr>
        <w:noProof/>
      </w:rPr>
    </w:sdtEndPr>
    <w:sdtContent>
      <w:p w:rsidR="00C27B53" w:rsidRDefault="00C27B53">
        <w:pPr>
          <w:pStyle w:val="Footer"/>
          <w:jc w:val="center"/>
        </w:pPr>
        <w:r>
          <w:fldChar w:fldCharType="begin"/>
        </w:r>
        <w:r>
          <w:instrText xml:space="preserve"> PAGE   \* MERGEFORMAT </w:instrText>
        </w:r>
        <w:r>
          <w:fldChar w:fldCharType="separate"/>
        </w:r>
        <w:r w:rsidR="004F6E6C">
          <w:rPr>
            <w:noProof/>
          </w:rPr>
          <w:t>4</w:t>
        </w:r>
        <w:r>
          <w:rPr>
            <w:noProof/>
          </w:rPr>
          <w:fldChar w:fldCharType="end"/>
        </w:r>
      </w:p>
    </w:sdtContent>
  </w:sdt>
  <w:p w:rsidR="00C27B53" w:rsidRDefault="00C27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B53" w:rsidRDefault="00C27B53" w:rsidP="00C27B53">
      <w:pPr>
        <w:spacing w:after="0" w:line="240" w:lineRule="auto"/>
      </w:pPr>
      <w:r>
        <w:separator/>
      </w:r>
    </w:p>
  </w:footnote>
  <w:footnote w:type="continuationSeparator" w:id="0">
    <w:p w:rsidR="00C27B53" w:rsidRDefault="00C27B53" w:rsidP="00C27B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58"/>
    <w:rsid w:val="00047B8B"/>
    <w:rsid w:val="00135982"/>
    <w:rsid w:val="001558A3"/>
    <w:rsid w:val="00197927"/>
    <w:rsid w:val="001A0B91"/>
    <w:rsid w:val="001C7F73"/>
    <w:rsid w:val="0020525D"/>
    <w:rsid w:val="0030744E"/>
    <w:rsid w:val="00330016"/>
    <w:rsid w:val="0033604A"/>
    <w:rsid w:val="00337245"/>
    <w:rsid w:val="00443C33"/>
    <w:rsid w:val="004F6E6C"/>
    <w:rsid w:val="00501AE9"/>
    <w:rsid w:val="00645F70"/>
    <w:rsid w:val="006A4AEF"/>
    <w:rsid w:val="006D0B21"/>
    <w:rsid w:val="00714531"/>
    <w:rsid w:val="007925B6"/>
    <w:rsid w:val="008313EC"/>
    <w:rsid w:val="00867063"/>
    <w:rsid w:val="00875570"/>
    <w:rsid w:val="008A3592"/>
    <w:rsid w:val="008D63AB"/>
    <w:rsid w:val="0093361F"/>
    <w:rsid w:val="00984656"/>
    <w:rsid w:val="009A0E1E"/>
    <w:rsid w:val="009C241E"/>
    <w:rsid w:val="00A84EE3"/>
    <w:rsid w:val="00AE365F"/>
    <w:rsid w:val="00B01590"/>
    <w:rsid w:val="00B105F3"/>
    <w:rsid w:val="00B9595D"/>
    <w:rsid w:val="00BE0CF5"/>
    <w:rsid w:val="00C01D34"/>
    <w:rsid w:val="00C22D52"/>
    <w:rsid w:val="00C27B53"/>
    <w:rsid w:val="00CB1358"/>
    <w:rsid w:val="00D11689"/>
    <w:rsid w:val="00DC368E"/>
    <w:rsid w:val="00DC69F0"/>
    <w:rsid w:val="00E229CC"/>
    <w:rsid w:val="00EC6620"/>
    <w:rsid w:val="00EE4309"/>
    <w:rsid w:val="00F4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38BE6-7606-430E-9E70-A9941C13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B53"/>
  </w:style>
  <w:style w:type="paragraph" w:styleId="Footer">
    <w:name w:val="footer"/>
    <w:basedOn w:val="Normal"/>
    <w:link w:val="FooterChar"/>
    <w:uiPriority w:val="99"/>
    <w:unhideWhenUsed/>
    <w:rsid w:val="00C27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Evans Court</dc:creator>
  <cp:keywords/>
  <dc:description/>
  <cp:lastModifiedBy>Justice Evans Court</cp:lastModifiedBy>
  <cp:revision>24</cp:revision>
  <dcterms:created xsi:type="dcterms:W3CDTF">2022-08-12T18:50:00Z</dcterms:created>
  <dcterms:modified xsi:type="dcterms:W3CDTF">2022-08-18T16:18:00Z</dcterms:modified>
</cp:coreProperties>
</file>