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AA" w:rsidRPr="00801EAA" w:rsidRDefault="00801EAA" w:rsidP="00801EAA">
      <w:bookmarkStart w:id="0" w:name="_GoBack"/>
      <w:bookmarkEnd w:id="0"/>
    </w:p>
    <w:p w:rsidR="0064455E" w:rsidRDefault="0064455E" w:rsidP="0064455E">
      <w:pPr>
        <w:pStyle w:val="Heading1"/>
        <w:widowControl/>
        <w:spacing w:line="360" w:lineRule="auto"/>
        <w:jc w:val="center"/>
        <w:rPr>
          <w:rFonts w:cs="Arial"/>
          <w:sz w:val="28"/>
          <w:szCs w:val="28"/>
        </w:rPr>
      </w:pPr>
      <w:r>
        <w:rPr>
          <w:rFonts w:cs="Arial"/>
          <w:sz w:val="28"/>
          <w:szCs w:val="28"/>
        </w:rPr>
        <w:t>COMMONWEALTH OF THE BAHAMAS</w:t>
      </w:r>
    </w:p>
    <w:p w:rsidR="0064455E" w:rsidRDefault="0064455E" w:rsidP="0064455E">
      <w:pPr>
        <w:pStyle w:val="Heading2"/>
        <w:widowControl/>
        <w:spacing w:line="360" w:lineRule="auto"/>
        <w:rPr>
          <w:rFonts w:cs="Arial"/>
          <w:sz w:val="28"/>
          <w:szCs w:val="28"/>
        </w:rPr>
      </w:pPr>
      <w:r>
        <w:rPr>
          <w:rFonts w:cs="Arial"/>
          <w:sz w:val="28"/>
          <w:szCs w:val="28"/>
        </w:rPr>
        <w:t>IN THE SUPREME COURT</w:t>
      </w:r>
    </w:p>
    <w:p w:rsidR="0064455E" w:rsidRDefault="0064455E" w:rsidP="0064455E">
      <w:pPr>
        <w:pStyle w:val="Heading2"/>
        <w:widowControl/>
        <w:spacing w:line="360" w:lineRule="auto"/>
        <w:rPr>
          <w:rFonts w:cs="Arial"/>
          <w:sz w:val="28"/>
          <w:szCs w:val="28"/>
        </w:rPr>
      </w:pPr>
      <w:r>
        <w:rPr>
          <w:rFonts w:cs="Arial"/>
          <w:sz w:val="28"/>
          <w:szCs w:val="28"/>
        </w:rPr>
        <w:t>COMMON LAW AND EQUITY DIVISION</w:t>
      </w:r>
    </w:p>
    <w:p w:rsidR="00F555FE" w:rsidRDefault="00F555FE" w:rsidP="0064455E">
      <w:pPr>
        <w:jc w:val="both"/>
        <w:rPr>
          <w:rFonts w:ascii="Arial" w:hAnsi="Arial" w:cs="Arial"/>
          <w:b/>
          <w:sz w:val="28"/>
          <w:szCs w:val="28"/>
        </w:rPr>
      </w:pPr>
    </w:p>
    <w:p w:rsidR="0064455E" w:rsidRDefault="00DF5773" w:rsidP="0064455E">
      <w:pPr>
        <w:jc w:val="both"/>
        <w:rPr>
          <w:rFonts w:ascii="Arial" w:hAnsi="Arial" w:cs="Arial"/>
          <w:b/>
          <w:sz w:val="28"/>
          <w:szCs w:val="28"/>
        </w:rPr>
      </w:pPr>
      <w:r>
        <w:rPr>
          <w:rFonts w:ascii="Arial" w:hAnsi="Arial" w:cs="Arial"/>
          <w:b/>
          <w:sz w:val="28"/>
          <w:szCs w:val="28"/>
        </w:rPr>
        <w:t>1985/CLE/gen/510</w:t>
      </w:r>
    </w:p>
    <w:p w:rsidR="0064455E" w:rsidRDefault="0064455E" w:rsidP="0064455E">
      <w:pPr>
        <w:rPr>
          <w:rFonts w:ascii="Arial" w:hAnsi="Arial" w:cs="Arial"/>
          <w:sz w:val="28"/>
          <w:szCs w:val="28"/>
        </w:rPr>
      </w:pPr>
    </w:p>
    <w:p w:rsidR="0064455E" w:rsidRDefault="0064455E" w:rsidP="0064455E">
      <w:pPr>
        <w:rPr>
          <w:rFonts w:ascii="Arial" w:hAnsi="Arial" w:cs="Arial"/>
          <w:b/>
          <w:sz w:val="28"/>
          <w:szCs w:val="28"/>
        </w:rPr>
      </w:pPr>
      <w:r>
        <w:rPr>
          <w:rFonts w:ascii="Arial" w:hAnsi="Arial" w:cs="Arial"/>
          <w:b/>
          <w:sz w:val="28"/>
          <w:szCs w:val="28"/>
        </w:rPr>
        <w:t>BETWEEN</w:t>
      </w:r>
    </w:p>
    <w:p w:rsidR="0064455E" w:rsidRDefault="0064455E" w:rsidP="0064455E">
      <w:pPr>
        <w:jc w:val="center"/>
        <w:rPr>
          <w:rFonts w:ascii="Arial" w:hAnsi="Arial" w:cs="Arial"/>
          <w:b/>
          <w:sz w:val="28"/>
          <w:szCs w:val="28"/>
        </w:rPr>
      </w:pPr>
    </w:p>
    <w:p w:rsidR="00305668" w:rsidRDefault="00845A43" w:rsidP="0092347D">
      <w:pPr>
        <w:jc w:val="center"/>
        <w:rPr>
          <w:rFonts w:ascii="Arial" w:hAnsi="Arial" w:cs="Arial"/>
          <w:b/>
          <w:sz w:val="28"/>
          <w:szCs w:val="28"/>
        </w:rPr>
      </w:pPr>
      <w:r>
        <w:rPr>
          <w:rFonts w:ascii="Arial" w:hAnsi="Arial" w:cs="Arial"/>
          <w:b/>
          <w:sz w:val="28"/>
          <w:szCs w:val="28"/>
        </w:rPr>
        <w:t xml:space="preserve">ARAWAK HOMES LIMITED </w:t>
      </w:r>
    </w:p>
    <w:p w:rsidR="0064455E" w:rsidRDefault="00DF5773" w:rsidP="00DF5773">
      <w:pPr>
        <w:jc w:val="right"/>
        <w:rPr>
          <w:rFonts w:ascii="Arial" w:hAnsi="Arial" w:cs="Arial"/>
          <w:b/>
        </w:rPr>
      </w:pPr>
      <w:r>
        <w:rPr>
          <w:rFonts w:ascii="Arial" w:hAnsi="Arial" w:cs="Arial"/>
          <w:b/>
        </w:rPr>
        <w:t>Plaintiff</w:t>
      </w:r>
      <w:r w:rsidR="00FA2470">
        <w:rPr>
          <w:rFonts w:ascii="Arial" w:hAnsi="Arial" w:cs="Arial"/>
          <w:b/>
        </w:rPr>
        <w:t xml:space="preserve"> </w:t>
      </w:r>
    </w:p>
    <w:p w:rsidR="0064455E" w:rsidRDefault="0064455E" w:rsidP="0064455E">
      <w:pPr>
        <w:jc w:val="center"/>
        <w:rPr>
          <w:rFonts w:ascii="Arial" w:hAnsi="Arial" w:cs="Arial"/>
          <w:b/>
          <w:sz w:val="28"/>
          <w:szCs w:val="28"/>
        </w:rPr>
      </w:pPr>
      <w:r>
        <w:rPr>
          <w:rFonts w:ascii="Arial" w:hAnsi="Arial" w:cs="Arial"/>
          <w:b/>
          <w:sz w:val="28"/>
          <w:szCs w:val="28"/>
        </w:rPr>
        <w:t>AND</w:t>
      </w:r>
    </w:p>
    <w:p w:rsidR="0064455E" w:rsidRDefault="0064455E" w:rsidP="0064455E">
      <w:pPr>
        <w:jc w:val="center"/>
        <w:rPr>
          <w:rFonts w:ascii="Arial" w:hAnsi="Arial" w:cs="Arial"/>
          <w:b/>
          <w:sz w:val="28"/>
          <w:szCs w:val="28"/>
        </w:rPr>
      </w:pPr>
    </w:p>
    <w:p w:rsidR="00B61F83" w:rsidRPr="00DF5773" w:rsidRDefault="00B61F83" w:rsidP="0064455E">
      <w:pPr>
        <w:jc w:val="center"/>
        <w:rPr>
          <w:rFonts w:ascii="Arial" w:hAnsi="Arial" w:cs="Arial"/>
          <w:b/>
          <w:sz w:val="28"/>
          <w:szCs w:val="28"/>
        </w:rPr>
      </w:pPr>
    </w:p>
    <w:p w:rsidR="00577939" w:rsidRDefault="00577939" w:rsidP="00845A43">
      <w:pPr>
        <w:spacing w:line="360" w:lineRule="auto"/>
        <w:jc w:val="center"/>
        <w:rPr>
          <w:rFonts w:ascii="Arial" w:hAnsi="Arial" w:cs="Arial"/>
          <w:b/>
          <w:sz w:val="28"/>
          <w:szCs w:val="28"/>
        </w:rPr>
      </w:pPr>
      <w:r>
        <w:rPr>
          <w:rFonts w:ascii="Arial" w:hAnsi="Arial" w:cs="Arial"/>
          <w:b/>
          <w:sz w:val="28"/>
          <w:szCs w:val="28"/>
        </w:rPr>
        <w:t>NEVILLE N. JOHNSON</w:t>
      </w:r>
    </w:p>
    <w:p w:rsidR="0028432F" w:rsidRDefault="0028432F" w:rsidP="00845A43">
      <w:pPr>
        <w:spacing w:line="360" w:lineRule="auto"/>
        <w:jc w:val="center"/>
        <w:rPr>
          <w:rFonts w:ascii="Arial" w:hAnsi="Arial" w:cs="Arial"/>
          <w:b/>
          <w:sz w:val="28"/>
          <w:szCs w:val="28"/>
        </w:rPr>
      </w:pPr>
      <w:r>
        <w:rPr>
          <w:rFonts w:ascii="Arial" w:hAnsi="Arial" w:cs="Arial"/>
          <w:b/>
          <w:sz w:val="28"/>
          <w:szCs w:val="28"/>
        </w:rPr>
        <w:t xml:space="preserve">(As Court appointed representative of Thaddeus </w:t>
      </w:r>
    </w:p>
    <w:p w:rsidR="0028432F" w:rsidRDefault="0028432F" w:rsidP="00845A43">
      <w:pPr>
        <w:spacing w:line="360" w:lineRule="auto"/>
        <w:jc w:val="center"/>
        <w:rPr>
          <w:rFonts w:ascii="Arial" w:hAnsi="Arial" w:cs="Arial"/>
          <w:b/>
          <w:sz w:val="28"/>
          <w:szCs w:val="28"/>
        </w:rPr>
      </w:pPr>
      <w:r>
        <w:rPr>
          <w:rFonts w:ascii="Arial" w:hAnsi="Arial" w:cs="Arial"/>
          <w:b/>
          <w:sz w:val="28"/>
          <w:szCs w:val="28"/>
        </w:rPr>
        <w:t>Johnson, Deceased)</w:t>
      </w:r>
    </w:p>
    <w:p w:rsidR="00577939" w:rsidRPr="00577939" w:rsidRDefault="0028432F" w:rsidP="00577939">
      <w:pPr>
        <w:spacing w:line="360" w:lineRule="auto"/>
        <w:jc w:val="right"/>
        <w:rPr>
          <w:rFonts w:ascii="Arial" w:hAnsi="Arial" w:cs="Arial"/>
          <w:b/>
        </w:rPr>
      </w:pPr>
      <w:r>
        <w:rPr>
          <w:rFonts w:ascii="Arial" w:hAnsi="Arial" w:cs="Arial"/>
          <w:b/>
        </w:rPr>
        <w:t>1</w:t>
      </w:r>
      <w:r w:rsidRPr="0028432F">
        <w:rPr>
          <w:rFonts w:ascii="Arial" w:hAnsi="Arial" w:cs="Arial"/>
          <w:b/>
          <w:vertAlign w:val="superscript"/>
        </w:rPr>
        <w:t>st</w:t>
      </w:r>
      <w:r>
        <w:rPr>
          <w:rFonts w:ascii="Arial" w:hAnsi="Arial" w:cs="Arial"/>
          <w:b/>
        </w:rPr>
        <w:t xml:space="preserve"> </w:t>
      </w:r>
      <w:r w:rsidR="00577939" w:rsidRPr="00577939">
        <w:rPr>
          <w:rFonts w:ascii="Arial" w:hAnsi="Arial" w:cs="Arial"/>
          <w:b/>
        </w:rPr>
        <w:t>Defendant</w:t>
      </w:r>
    </w:p>
    <w:p w:rsidR="0064455E" w:rsidRDefault="0028432F" w:rsidP="00845A43">
      <w:pPr>
        <w:spacing w:line="360" w:lineRule="auto"/>
        <w:jc w:val="center"/>
        <w:rPr>
          <w:rFonts w:ascii="Arial" w:hAnsi="Arial" w:cs="Arial"/>
          <w:b/>
          <w:sz w:val="28"/>
          <w:szCs w:val="28"/>
        </w:rPr>
      </w:pPr>
      <w:r>
        <w:rPr>
          <w:rFonts w:ascii="Arial" w:hAnsi="Arial" w:cs="Arial"/>
          <w:b/>
          <w:sz w:val="28"/>
          <w:szCs w:val="28"/>
        </w:rPr>
        <w:t xml:space="preserve">TANICA </w:t>
      </w:r>
      <w:r w:rsidR="00845A43" w:rsidRPr="00DF5773">
        <w:rPr>
          <w:rFonts w:ascii="Arial" w:hAnsi="Arial" w:cs="Arial"/>
          <w:b/>
          <w:sz w:val="28"/>
          <w:szCs w:val="28"/>
        </w:rPr>
        <w:t>FERGUSON</w:t>
      </w:r>
    </w:p>
    <w:p w:rsidR="0028432F" w:rsidRDefault="002634B6" w:rsidP="00845A43">
      <w:pPr>
        <w:spacing w:line="360" w:lineRule="auto"/>
        <w:jc w:val="center"/>
        <w:rPr>
          <w:rFonts w:ascii="Arial" w:hAnsi="Arial" w:cs="Arial"/>
          <w:b/>
          <w:sz w:val="28"/>
          <w:szCs w:val="28"/>
        </w:rPr>
      </w:pPr>
      <w:r>
        <w:rPr>
          <w:rFonts w:ascii="Arial" w:hAnsi="Arial" w:cs="Arial"/>
          <w:b/>
          <w:sz w:val="28"/>
          <w:szCs w:val="28"/>
        </w:rPr>
        <w:t xml:space="preserve">(Substituted for </w:t>
      </w:r>
      <w:proofErr w:type="spellStart"/>
      <w:r>
        <w:rPr>
          <w:rFonts w:ascii="Arial" w:hAnsi="Arial" w:cs="Arial"/>
          <w:b/>
          <w:sz w:val="28"/>
          <w:szCs w:val="28"/>
        </w:rPr>
        <w:t>Eleazo</w:t>
      </w:r>
      <w:r w:rsidR="0028432F">
        <w:rPr>
          <w:rFonts w:ascii="Arial" w:hAnsi="Arial" w:cs="Arial"/>
          <w:b/>
          <w:sz w:val="28"/>
          <w:szCs w:val="28"/>
        </w:rPr>
        <w:t>r</w:t>
      </w:r>
      <w:proofErr w:type="spellEnd"/>
      <w:r w:rsidR="0028432F">
        <w:rPr>
          <w:rFonts w:ascii="Arial" w:hAnsi="Arial" w:cs="Arial"/>
          <w:b/>
          <w:sz w:val="28"/>
          <w:szCs w:val="28"/>
        </w:rPr>
        <w:t xml:space="preserve"> Ferguson, Deceased)</w:t>
      </w:r>
    </w:p>
    <w:p w:rsidR="00577939" w:rsidRPr="00577939" w:rsidRDefault="0028432F" w:rsidP="00577939">
      <w:pPr>
        <w:spacing w:line="360" w:lineRule="auto"/>
        <w:jc w:val="right"/>
        <w:rPr>
          <w:rFonts w:ascii="Arial" w:hAnsi="Arial" w:cs="Arial"/>
          <w:b/>
        </w:rPr>
      </w:pPr>
      <w:r>
        <w:rPr>
          <w:rFonts w:ascii="Arial" w:hAnsi="Arial" w:cs="Arial"/>
          <w:b/>
        </w:rPr>
        <w:t>2</w:t>
      </w:r>
      <w:r w:rsidRPr="0028432F">
        <w:rPr>
          <w:rFonts w:ascii="Arial" w:hAnsi="Arial" w:cs="Arial"/>
          <w:b/>
          <w:vertAlign w:val="superscript"/>
        </w:rPr>
        <w:t>nd</w:t>
      </w:r>
      <w:r>
        <w:rPr>
          <w:rFonts w:ascii="Arial" w:hAnsi="Arial" w:cs="Arial"/>
          <w:b/>
        </w:rPr>
        <w:t xml:space="preserve"> </w:t>
      </w:r>
      <w:r w:rsidR="00577939" w:rsidRPr="00577939">
        <w:rPr>
          <w:rFonts w:ascii="Arial" w:hAnsi="Arial" w:cs="Arial"/>
          <w:b/>
        </w:rPr>
        <w:t>Defendant</w:t>
      </w:r>
    </w:p>
    <w:p w:rsidR="00577939" w:rsidRPr="00DF5773" w:rsidRDefault="00577939" w:rsidP="00845A43">
      <w:pPr>
        <w:spacing w:line="360" w:lineRule="auto"/>
        <w:jc w:val="center"/>
        <w:rPr>
          <w:rFonts w:ascii="Arial" w:hAnsi="Arial" w:cs="Arial"/>
          <w:b/>
          <w:sz w:val="28"/>
          <w:szCs w:val="28"/>
        </w:rPr>
      </w:pPr>
      <w:r>
        <w:rPr>
          <w:rFonts w:ascii="Arial" w:hAnsi="Arial" w:cs="Arial"/>
          <w:b/>
          <w:sz w:val="28"/>
          <w:szCs w:val="28"/>
        </w:rPr>
        <w:t>C.B. BAHAMAS LIMITED</w:t>
      </w:r>
    </w:p>
    <w:p w:rsidR="00FA2470" w:rsidRDefault="0028432F" w:rsidP="00FD5EAF">
      <w:pPr>
        <w:pStyle w:val="ListParagraph"/>
        <w:spacing w:line="360" w:lineRule="auto"/>
        <w:jc w:val="right"/>
        <w:rPr>
          <w:rFonts w:ascii="Arial" w:hAnsi="Arial" w:cs="Arial"/>
          <w:b/>
        </w:rPr>
      </w:pPr>
      <w:r>
        <w:rPr>
          <w:rFonts w:ascii="Arial" w:hAnsi="Arial" w:cs="Arial"/>
          <w:b/>
        </w:rPr>
        <w:t>3</w:t>
      </w:r>
      <w:r w:rsidRPr="0028432F">
        <w:rPr>
          <w:rFonts w:ascii="Arial" w:hAnsi="Arial" w:cs="Arial"/>
          <w:b/>
          <w:vertAlign w:val="superscript"/>
        </w:rPr>
        <w:t>rd</w:t>
      </w:r>
      <w:r>
        <w:rPr>
          <w:rFonts w:ascii="Arial" w:hAnsi="Arial" w:cs="Arial"/>
          <w:b/>
        </w:rPr>
        <w:t xml:space="preserve"> </w:t>
      </w:r>
      <w:r w:rsidR="00305668">
        <w:rPr>
          <w:rFonts w:ascii="Arial" w:hAnsi="Arial" w:cs="Arial"/>
          <w:b/>
        </w:rPr>
        <w:t>Defendant</w:t>
      </w:r>
    </w:p>
    <w:p w:rsidR="00FD5EAF" w:rsidRDefault="00FD5EAF" w:rsidP="00FD5EAF">
      <w:pPr>
        <w:pStyle w:val="ListParagraph"/>
        <w:spacing w:line="360" w:lineRule="auto"/>
        <w:jc w:val="right"/>
        <w:rPr>
          <w:rFonts w:ascii="Arial" w:hAnsi="Arial" w:cs="Arial"/>
          <w:b/>
        </w:rPr>
      </w:pPr>
    </w:p>
    <w:p w:rsidR="0064455E" w:rsidRDefault="0064455E" w:rsidP="0064455E">
      <w:pPr>
        <w:rPr>
          <w:rFonts w:ascii="Arial" w:hAnsi="Arial" w:cs="Arial"/>
        </w:rPr>
      </w:pPr>
      <w:r>
        <w:rPr>
          <w:rFonts w:ascii="Arial" w:hAnsi="Arial" w:cs="Arial"/>
          <w:b/>
        </w:rPr>
        <w:t xml:space="preserve">Before: </w:t>
      </w:r>
      <w:r>
        <w:rPr>
          <w:rFonts w:ascii="Arial" w:hAnsi="Arial" w:cs="Arial"/>
          <w:b/>
        </w:rPr>
        <w:tab/>
      </w:r>
      <w:r>
        <w:rPr>
          <w:rFonts w:ascii="Arial" w:hAnsi="Arial" w:cs="Arial"/>
          <w:b/>
        </w:rPr>
        <w:tab/>
      </w:r>
      <w:r>
        <w:rPr>
          <w:rFonts w:ascii="Arial" w:hAnsi="Arial" w:cs="Arial"/>
        </w:rPr>
        <w:t xml:space="preserve">The </w:t>
      </w:r>
      <w:proofErr w:type="spellStart"/>
      <w:r>
        <w:rPr>
          <w:rFonts w:ascii="Arial" w:hAnsi="Arial" w:cs="Arial"/>
        </w:rPr>
        <w:t>Hon</w:t>
      </w:r>
      <w:r w:rsidR="00305668">
        <w:rPr>
          <w:rFonts w:ascii="Arial" w:hAnsi="Arial" w:cs="Arial"/>
        </w:rPr>
        <w:t>ourable</w:t>
      </w:r>
      <w:proofErr w:type="spellEnd"/>
      <w:r>
        <w:rPr>
          <w:rFonts w:ascii="Arial" w:hAnsi="Arial" w:cs="Arial"/>
        </w:rPr>
        <w:t xml:space="preserve"> Madam Justice </w:t>
      </w:r>
      <w:proofErr w:type="spellStart"/>
      <w:r>
        <w:rPr>
          <w:rFonts w:ascii="Arial" w:hAnsi="Arial" w:cs="Arial"/>
        </w:rPr>
        <w:t>Indra</w:t>
      </w:r>
      <w:proofErr w:type="spellEnd"/>
      <w:r>
        <w:rPr>
          <w:rFonts w:ascii="Arial" w:hAnsi="Arial" w:cs="Arial"/>
        </w:rPr>
        <w:t xml:space="preserve"> H. Charles</w:t>
      </w:r>
    </w:p>
    <w:p w:rsidR="0064455E" w:rsidRDefault="0064455E" w:rsidP="0064455E">
      <w:pPr>
        <w:rPr>
          <w:rFonts w:ascii="Arial" w:hAnsi="Arial" w:cs="Arial"/>
        </w:rPr>
      </w:pPr>
    </w:p>
    <w:p w:rsidR="0064455E" w:rsidRDefault="0064455E" w:rsidP="0064455E">
      <w:pPr>
        <w:ind w:left="2160" w:hanging="2160"/>
        <w:rPr>
          <w:rFonts w:ascii="Arial" w:hAnsi="Arial" w:cs="Arial"/>
        </w:rPr>
      </w:pPr>
      <w:r>
        <w:rPr>
          <w:rFonts w:ascii="Arial" w:hAnsi="Arial" w:cs="Arial"/>
          <w:b/>
        </w:rPr>
        <w:t xml:space="preserve">Appearances:   </w:t>
      </w:r>
      <w:r w:rsidRPr="001E339B">
        <w:rPr>
          <w:rFonts w:ascii="Arial" w:hAnsi="Arial" w:cs="Arial"/>
        </w:rPr>
        <w:tab/>
      </w:r>
      <w:r w:rsidR="00305668">
        <w:rPr>
          <w:rFonts w:ascii="Arial" w:hAnsi="Arial" w:cs="Arial"/>
        </w:rPr>
        <w:t xml:space="preserve">Mr. </w:t>
      </w:r>
      <w:r w:rsidR="00845A43">
        <w:rPr>
          <w:rFonts w:ascii="Arial" w:hAnsi="Arial" w:cs="Arial"/>
        </w:rPr>
        <w:t xml:space="preserve">Neville Smith QC and Mr. Tavares </w:t>
      </w:r>
      <w:proofErr w:type="spellStart"/>
      <w:r w:rsidR="00845A43">
        <w:rPr>
          <w:rFonts w:ascii="Arial" w:hAnsi="Arial" w:cs="Arial"/>
        </w:rPr>
        <w:t>Laroda</w:t>
      </w:r>
      <w:proofErr w:type="spellEnd"/>
      <w:r w:rsidR="00845A43">
        <w:rPr>
          <w:rFonts w:ascii="Arial" w:hAnsi="Arial" w:cs="Arial"/>
        </w:rPr>
        <w:t xml:space="preserve"> </w:t>
      </w:r>
      <w:r w:rsidR="00577939">
        <w:rPr>
          <w:rFonts w:ascii="Arial" w:hAnsi="Arial" w:cs="Arial"/>
        </w:rPr>
        <w:t xml:space="preserve">of Sharon Wilson &amp; Co. </w:t>
      </w:r>
      <w:r w:rsidR="00845A43">
        <w:rPr>
          <w:rFonts w:ascii="Arial" w:hAnsi="Arial" w:cs="Arial"/>
        </w:rPr>
        <w:t>for the Plaintiff</w:t>
      </w:r>
      <w:r w:rsidR="00305668">
        <w:rPr>
          <w:rFonts w:ascii="Arial" w:hAnsi="Arial" w:cs="Arial"/>
        </w:rPr>
        <w:t xml:space="preserve"> </w:t>
      </w:r>
    </w:p>
    <w:p w:rsidR="00DF55FB" w:rsidRDefault="0064455E" w:rsidP="0064455E">
      <w:pPr>
        <w:ind w:left="2160" w:hanging="2160"/>
        <w:rPr>
          <w:rFonts w:ascii="Arial" w:hAnsi="Arial" w:cs="Arial"/>
        </w:rPr>
      </w:pPr>
      <w:r>
        <w:rPr>
          <w:rFonts w:ascii="Arial" w:hAnsi="Arial" w:cs="Arial"/>
          <w:b/>
        </w:rPr>
        <w:tab/>
      </w:r>
      <w:r>
        <w:rPr>
          <w:rFonts w:ascii="Arial" w:hAnsi="Arial" w:cs="Arial"/>
        </w:rPr>
        <w:t>Mr</w:t>
      </w:r>
      <w:r w:rsidR="00845A43">
        <w:rPr>
          <w:rFonts w:ascii="Arial" w:hAnsi="Arial" w:cs="Arial"/>
        </w:rPr>
        <w:t xml:space="preserve">. Carlton Martin </w:t>
      </w:r>
      <w:r w:rsidR="00577939">
        <w:rPr>
          <w:rFonts w:ascii="Arial" w:hAnsi="Arial" w:cs="Arial"/>
        </w:rPr>
        <w:t xml:space="preserve">of Martin, Martin &amp; Co. </w:t>
      </w:r>
      <w:r w:rsidR="00845A43">
        <w:rPr>
          <w:rFonts w:ascii="Arial" w:hAnsi="Arial" w:cs="Arial"/>
        </w:rPr>
        <w:t xml:space="preserve">for the </w:t>
      </w:r>
      <w:r w:rsidR="0028432F">
        <w:rPr>
          <w:rFonts w:ascii="Arial" w:hAnsi="Arial" w:cs="Arial"/>
        </w:rPr>
        <w:t>2</w:t>
      </w:r>
      <w:r w:rsidR="0028432F" w:rsidRPr="0028432F">
        <w:rPr>
          <w:rFonts w:ascii="Arial" w:hAnsi="Arial" w:cs="Arial"/>
          <w:vertAlign w:val="superscript"/>
        </w:rPr>
        <w:t>nd</w:t>
      </w:r>
      <w:r w:rsidR="0028432F">
        <w:rPr>
          <w:rFonts w:ascii="Arial" w:hAnsi="Arial" w:cs="Arial"/>
        </w:rPr>
        <w:t xml:space="preserve"> </w:t>
      </w:r>
      <w:r w:rsidR="00845A43">
        <w:rPr>
          <w:rFonts w:ascii="Arial" w:hAnsi="Arial" w:cs="Arial"/>
        </w:rPr>
        <w:t>Defendant</w:t>
      </w:r>
    </w:p>
    <w:p w:rsidR="0064455E" w:rsidRDefault="0064455E" w:rsidP="0064455E">
      <w:pPr>
        <w:ind w:left="2160" w:hanging="2160"/>
        <w:rPr>
          <w:rFonts w:ascii="Arial" w:hAnsi="Arial" w:cs="Arial"/>
        </w:rPr>
      </w:pPr>
      <w:r>
        <w:rPr>
          <w:rFonts w:ascii="Arial" w:hAnsi="Arial" w:cs="Arial"/>
        </w:rPr>
        <w:tab/>
      </w:r>
      <w:r>
        <w:rPr>
          <w:rFonts w:ascii="Arial" w:hAnsi="Arial" w:cs="Arial"/>
        </w:rPr>
        <w:tab/>
      </w:r>
    </w:p>
    <w:p w:rsidR="0028432F" w:rsidRDefault="0064455E" w:rsidP="00DF5773">
      <w:pPr>
        <w:ind w:left="2160" w:hanging="2160"/>
        <w:jc w:val="both"/>
        <w:rPr>
          <w:rFonts w:ascii="Arial" w:hAnsi="Arial" w:cs="Arial"/>
        </w:rPr>
      </w:pPr>
      <w:r>
        <w:rPr>
          <w:rFonts w:ascii="Arial" w:hAnsi="Arial" w:cs="Arial"/>
          <w:b/>
        </w:rPr>
        <w:t>Hearing Dates:</w:t>
      </w:r>
      <w:r w:rsidR="00C157E9">
        <w:rPr>
          <w:rFonts w:ascii="Arial" w:hAnsi="Arial" w:cs="Arial"/>
        </w:rPr>
        <w:tab/>
      </w:r>
      <w:r w:rsidR="00845A43">
        <w:rPr>
          <w:rFonts w:ascii="Arial" w:hAnsi="Arial" w:cs="Arial"/>
        </w:rPr>
        <w:t>26</w:t>
      </w:r>
      <w:r w:rsidR="00DF5773">
        <w:rPr>
          <w:rFonts w:ascii="Arial" w:hAnsi="Arial" w:cs="Arial"/>
        </w:rPr>
        <w:t xml:space="preserve"> September, </w:t>
      </w:r>
      <w:r w:rsidR="00577939">
        <w:rPr>
          <w:rFonts w:ascii="Arial" w:hAnsi="Arial" w:cs="Arial"/>
        </w:rPr>
        <w:t xml:space="preserve">31 October 2016, </w:t>
      </w:r>
      <w:r w:rsidR="002446B2">
        <w:rPr>
          <w:rFonts w:ascii="Arial" w:hAnsi="Arial" w:cs="Arial"/>
        </w:rPr>
        <w:t xml:space="preserve">21 </w:t>
      </w:r>
      <w:r w:rsidR="00577939">
        <w:rPr>
          <w:rFonts w:ascii="Arial" w:hAnsi="Arial" w:cs="Arial"/>
        </w:rPr>
        <w:t>November 2016</w:t>
      </w:r>
      <w:r w:rsidR="0028432F">
        <w:rPr>
          <w:rFonts w:ascii="Arial" w:hAnsi="Arial" w:cs="Arial"/>
        </w:rPr>
        <w:t xml:space="preserve"> </w:t>
      </w:r>
    </w:p>
    <w:p w:rsidR="00845A43" w:rsidRDefault="0028432F" w:rsidP="00DF5773">
      <w:pPr>
        <w:ind w:left="2160" w:hanging="2160"/>
        <w:jc w:val="both"/>
        <w:rPr>
          <w:rFonts w:ascii="Arial" w:hAnsi="Arial" w:cs="Arial"/>
        </w:rPr>
      </w:pPr>
      <w:r>
        <w:rPr>
          <w:rFonts w:ascii="Arial" w:hAnsi="Arial" w:cs="Arial"/>
          <w:b/>
        </w:rPr>
        <w:tab/>
      </w:r>
      <w:r>
        <w:rPr>
          <w:rFonts w:ascii="Arial" w:hAnsi="Arial" w:cs="Arial"/>
        </w:rPr>
        <w:t>(</w:t>
      </w:r>
      <w:r w:rsidR="006B7E96">
        <w:rPr>
          <w:rFonts w:ascii="Arial" w:hAnsi="Arial" w:cs="Arial"/>
        </w:rPr>
        <w:t>Trial on</w:t>
      </w:r>
      <w:r>
        <w:rPr>
          <w:rFonts w:ascii="Arial" w:hAnsi="Arial" w:cs="Arial"/>
        </w:rPr>
        <w:t xml:space="preserve"> submissions only as </w:t>
      </w:r>
      <w:r w:rsidR="006B7E96">
        <w:rPr>
          <w:rFonts w:ascii="Arial" w:hAnsi="Arial" w:cs="Arial"/>
        </w:rPr>
        <w:t>dir</w:t>
      </w:r>
      <w:r>
        <w:rPr>
          <w:rFonts w:ascii="Arial" w:hAnsi="Arial" w:cs="Arial"/>
        </w:rPr>
        <w:t>ected by the Court of Appeal)</w:t>
      </w:r>
      <w:r w:rsidR="00DF5773">
        <w:rPr>
          <w:rFonts w:ascii="Arial" w:hAnsi="Arial" w:cs="Arial"/>
        </w:rPr>
        <w:t xml:space="preserve"> </w:t>
      </w:r>
    </w:p>
    <w:p w:rsidR="0064455E" w:rsidRDefault="0064455E" w:rsidP="0064455E">
      <w:pPr>
        <w:rPr>
          <w:rFonts w:ascii="Arial" w:hAnsi="Arial" w:cs="Arial"/>
          <w:b/>
          <w:u w:val="single"/>
        </w:rPr>
      </w:pPr>
    </w:p>
    <w:p w:rsidR="00092BBD" w:rsidRDefault="00092BBD" w:rsidP="0064455E">
      <w:pPr>
        <w:rPr>
          <w:rFonts w:ascii="Arial" w:hAnsi="Arial" w:cs="Arial"/>
          <w:b/>
          <w:u w:val="single"/>
        </w:rPr>
      </w:pPr>
    </w:p>
    <w:p w:rsidR="00B878F0" w:rsidRDefault="0013472B" w:rsidP="0013472B">
      <w:pPr>
        <w:jc w:val="both"/>
        <w:rPr>
          <w:rFonts w:ascii="Arial" w:hAnsi="Arial" w:cs="Arial"/>
          <w:b/>
        </w:rPr>
      </w:pPr>
      <w:r w:rsidRPr="0013472B">
        <w:rPr>
          <w:rFonts w:ascii="Arial" w:hAnsi="Arial" w:cs="Arial"/>
          <w:b/>
        </w:rPr>
        <w:lastRenderedPageBreak/>
        <w:t>Civil</w:t>
      </w:r>
      <w:r w:rsidR="00B878F0">
        <w:rPr>
          <w:rFonts w:ascii="Arial" w:hAnsi="Arial" w:cs="Arial"/>
          <w:b/>
        </w:rPr>
        <w:t xml:space="preserve"> - A</w:t>
      </w:r>
      <w:r w:rsidRPr="0013472B">
        <w:rPr>
          <w:rFonts w:ascii="Arial" w:hAnsi="Arial" w:cs="Arial"/>
          <w:b/>
        </w:rPr>
        <w:t xml:space="preserve">ction </w:t>
      </w:r>
      <w:r w:rsidR="00B878F0">
        <w:rPr>
          <w:rFonts w:ascii="Arial" w:hAnsi="Arial" w:cs="Arial"/>
          <w:b/>
        </w:rPr>
        <w:t>remitted to Supreme Court by Court of Appeal for hearing on submissions only as against 2</w:t>
      </w:r>
      <w:r w:rsidR="00B878F0" w:rsidRPr="00B878F0">
        <w:rPr>
          <w:rFonts w:ascii="Arial" w:hAnsi="Arial" w:cs="Arial"/>
          <w:b/>
          <w:vertAlign w:val="superscript"/>
        </w:rPr>
        <w:t>nd</w:t>
      </w:r>
      <w:r w:rsidR="00B878F0">
        <w:rPr>
          <w:rFonts w:ascii="Arial" w:hAnsi="Arial" w:cs="Arial"/>
          <w:b/>
        </w:rPr>
        <w:t xml:space="preserve"> Defendant </w:t>
      </w:r>
      <w:r w:rsidRPr="0013472B">
        <w:rPr>
          <w:rFonts w:ascii="Arial" w:hAnsi="Arial" w:cs="Arial"/>
          <w:b/>
        </w:rPr>
        <w:t>–</w:t>
      </w:r>
      <w:r w:rsidR="00B878F0">
        <w:rPr>
          <w:rFonts w:ascii="Arial" w:hAnsi="Arial" w:cs="Arial"/>
          <w:b/>
        </w:rPr>
        <w:t xml:space="preserve"> No live factual issue to be tried – No issue of fraud committed by 2</w:t>
      </w:r>
      <w:r w:rsidR="00B878F0" w:rsidRPr="00B878F0">
        <w:rPr>
          <w:rFonts w:ascii="Arial" w:hAnsi="Arial" w:cs="Arial"/>
          <w:b/>
          <w:vertAlign w:val="superscript"/>
        </w:rPr>
        <w:t>nd</w:t>
      </w:r>
      <w:r w:rsidR="00B878F0">
        <w:rPr>
          <w:rFonts w:ascii="Arial" w:hAnsi="Arial" w:cs="Arial"/>
          <w:b/>
        </w:rPr>
        <w:t xml:space="preserve"> Defendant</w:t>
      </w:r>
      <w:r w:rsidRPr="0013472B">
        <w:rPr>
          <w:rFonts w:ascii="Arial" w:hAnsi="Arial" w:cs="Arial"/>
          <w:b/>
        </w:rPr>
        <w:t xml:space="preserve"> </w:t>
      </w:r>
    </w:p>
    <w:p w:rsidR="00B878F0" w:rsidRDefault="00B878F0" w:rsidP="0013472B">
      <w:pPr>
        <w:jc w:val="both"/>
        <w:rPr>
          <w:rFonts w:ascii="Arial" w:hAnsi="Arial" w:cs="Arial"/>
          <w:b/>
        </w:rPr>
      </w:pPr>
    </w:p>
    <w:p w:rsidR="00B878F0" w:rsidRDefault="0013472B" w:rsidP="00B878F0">
      <w:pPr>
        <w:jc w:val="both"/>
        <w:rPr>
          <w:rFonts w:ascii="Arial" w:hAnsi="Arial" w:cs="Arial"/>
          <w:b/>
        </w:rPr>
      </w:pPr>
      <w:r w:rsidRPr="0013472B">
        <w:rPr>
          <w:rFonts w:ascii="Arial" w:hAnsi="Arial" w:cs="Arial"/>
          <w:b/>
        </w:rPr>
        <w:t>Quieting Titles – Certificates of Title – Fraud of 1</w:t>
      </w:r>
      <w:r w:rsidRPr="0013472B">
        <w:rPr>
          <w:rFonts w:ascii="Arial" w:hAnsi="Arial" w:cs="Arial"/>
          <w:b/>
          <w:vertAlign w:val="superscript"/>
        </w:rPr>
        <w:t>st</w:t>
      </w:r>
      <w:r w:rsidR="00B878F0">
        <w:rPr>
          <w:rFonts w:ascii="Arial" w:hAnsi="Arial" w:cs="Arial"/>
          <w:b/>
        </w:rPr>
        <w:t xml:space="preserve"> Defendant </w:t>
      </w:r>
      <w:r w:rsidRPr="0013472B">
        <w:rPr>
          <w:rFonts w:ascii="Arial" w:hAnsi="Arial" w:cs="Arial"/>
          <w:b/>
        </w:rPr>
        <w:t>already determined by Court –</w:t>
      </w:r>
      <w:r w:rsidR="00B878F0">
        <w:rPr>
          <w:rFonts w:ascii="Arial" w:hAnsi="Arial" w:cs="Arial"/>
          <w:b/>
        </w:rPr>
        <w:t>Validity of certificate of title of 2</w:t>
      </w:r>
      <w:r w:rsidR="00B878F0" w:rsidRPr="00B878F0">
        <w:rPr>
          <w:rFonts w:ascii="Arial" w:hAnsi="Arial" w:cs="Arial"/>
          <w:b/>
          <w:vertAlign w:val="superscript"/>
        </w:rPr>
        <w:t>nd</w:t>
      </w:r>
      <w:r w:rsidR="00B878F0">
        <w:rPr>
          <w:rFonts w:ascii="Arial" w:hAnsi="Arial" w:cs="Arial"/>
          <w:b/>
        </w:rPr>
        <w:t xml:space="preserve"> Defendant </w:t>
      </w:r>
      <w:r w:rsidR="00445EBE">
        <w:rPr>
          <w:rFonts w:ascii="Arial" w:hAnsi="Arial" w:cs="Arial"/>
          <w:b/>
        </w:rPr>
        <w:t>who b</w:t>
      </w:r>
      <w:r w:rsidR="00B878F0">
        <w:rPr>
          <w:rFonts w:ascii="Arial" w:hAnsi="Arial" w:cs="Arial"/>
          <w:b/>
        </w:rPr>
        <w:t>ought land from 1</w:t>
      </w:r>
      <w:r w:rsidR="00B878F0" w:rsidRPr="00B878F0">
        <w:rPr>
          <w:rFonts w:ascii="Arial" w:hAnsi="Arial" w:cs="Arial"/>
          <w:b/>
          <w:vertAlign w:val="superscript"/>
        </w:rPr>
        <w:t>st</w:t>
      </w:r>
      <w:r w:rsidR="00B878F0">
        <w:rPr>
          <w:rFonts w:ascii="Arial" w:hAnsi="Arial" w:cs="Arial"/>
          <w:b/>
        </w:rPr>
        <w:t xml:space="preserve"> Defendant</w:t>
      </w:r>
      <w:r w:rsidR="00445EBE">
        <w:rPr>
          <w:rFonts w:ascii="Arial" w:hAnsi="Arial" w:cs="Arial"/>
          <w:b/>
        </w:rPr>
        <w:t xml:space="preserve"> –</w:t>
      </w:r>
      <w:r w:rsidR="00445EBE" w:rsidRPr="00445EBE">
        <w:rPr>
          <w:rFonts w:ascii="Arial" w:hAnsi="Arial" w:cs="Arial"/>
          <w:b/>
        </w:rPr>
        <w:t xml:space="preserve"> </w:t>
      </w:r>
      <w:r w:rsidR="00445EBE">
        <w:rPr>
          <w:rFonts w:ascii="Arial" w:hAnsi="Arial" w:cs="Arial"/>
          <w:b/>
        </w:rPr>
        <w:t xml:space="preserve">Whether </w:t>
      </w:r>
      <w:r w:rsidR="00445EBE" w:rsidRPr="0013472B">
        <w:rPr>
          <w:rFonts w:ascii="Arial" w:hAnsi="Arial" w:cs="Arial"/>
          <w:b/>
        </w:rPr>
        <w:t>1</w:t>
      </w:r>
      <w:r w:rsidR="00445EBE" w:rsidRPr="0013472B">
        <w:rPr>
          <w:rFonts w:ascii="Arial" w:hAnsi="Arial" w:cs="Arial"/>
          <w:b/>
          <w:vertAlign w:val="superscript"/>
        </w:rPr>
        <w:t>st</w:t>
      </w:r>
      <w:r w:rsidR="00445EBE" w:rsidRPr="0013472B">
        <w:rPr>
          <w:rFonts w:ascii="Arial" w:hAnsi="Arial" w:cs="Arial"/>
          <w:b/>
        </w:rPr>
        <w:t xml:space="preserve"> Defendant can pass good title to subsequent purchasers</w:t>
      </w:r>
      <w:r w:rsidR="00445EBE">
        <w:rPr>
          <w:rFonts w:ascii="Arial" w:hAnsi="Arial" w:cs="Arial"/>
          <w:b/>
        </w:rPr>
        <w:t>.</w:t>
      </w:r>
    </w:p>
    <w:p w:rsidR="0013472B" w:rsidRDefault="0013472B" w:rsidP="001A6F62">
      <w:pPr>
        <w:jc w:val="both"/>
        <w:rPr>
          <w:rFonts w:ascii="Arial" w:hAnsi="Arial" w:cs="Arial"/>
        </w:rPr>
      </w:pPr>
    </w:p>
    <w:p w:rsidR="00583AA6" w:rsidRDefault="0013472B" w:rsidP="001A6F62">
      <w:pPr>
        <w:jc w:val="both"/>
        <w:rPr>
          <w:rFonts w:ascii="Arial" w:hAnsi="Arial" w:cs="Arial"/>
        </w:rPr>
      </w:pPr>
      <w:r>
        <w:rPr>
          <w:rFonts w:ascii="Arial" w:hAnsi="Arial" w:cs="Arial"/>
        </w:rPr>
        <w:t>On 2</w:t>
      </w:r>
      <w:r w:rsidR="005E2A3C">
        <w:rPr>
          <w:rFonts w:ascii="Arial" w:hAnsi="Arial" w:cs="Arial"/>
        </w:rPr>
        <w:t>8</w:t>
      </w:r>
      <w:r>
        <w:rPr>
          <w:rFonts w:ascii="Arial" w:hAnsi="Arial" w:cs="Arial"/>
        </w:rPr>
        <w:t xml:space="preserve"> January 1985, </w:t>
      </w:r>
      <w:r w:rsidR="005E2A3C">
        <w:rPr>
          <w:rFonts w:ascii="Arial" w:hAnsi="Arial" w:cs="Arial"/>
        </w:rPr>
        <w:t>certificates of t</w:t>
      </w:r>
      <w:r>
        <w:rPr>
          <w:rFonts w:ascii="Arial" w:hAnsi="Arial" w:cs="Arial"/>
        </w:rPr>
        <w:t>itles were granted to</w:t>
      </w:r>
      <w:r w:rsidR="005E2A3C">
        <w:rPr>
          <w:rFonts w:ascii="Arial" w:hAnsi="Arial" w:cs="Arial"/>
        </w:rPr>
        <w:t xml:space="preserve"> the 1</w:t>
      </w:r>
      <w:r w:rsidR="005E2A3C" w:rsidRPr="005E2A3C">
        <w:rPr>
          <w:rFonts w:ascii="Arial" w:hAnsi="Arial" w:cs="Arial"/>
          <w:vertAlign w:val="superscript"/>
        </w:rPr>
        <w:t>st</w:t>
      </w:r>
      <w:r w:rsidR="005E2A3C">
        <w:rPr>
          <w:rFonts w:ascii="Arial" w:hAnsi="Arial" w:cs="Arial"/>
        </w:rPr>
        <w:t xml:space="preserve"> and 2</w:t>
      </w:r>
      <w:r w:rsidR="005E2A3C" w:rsidRPr="005E2A3C">
        <w:rPr>
          <w:rFonts w:ascii="Arial" w:hAnsi="Arial" w:cs="Arial"/>
          <w:vertAlign w:val="superscript"/>
        </w:rPr>
        <w:t>nd</w:t>
      </w:r>
      <w:r w:rsidR="005E2A3C">
        <w:rPr>
          <w:rFonts w:ascii="Arial" w:hAnsi="Arial" w:cs="Arial"/>
        </w:rPr>
        <w:t xml:space="preserve"> Defendants in a Quieting </w:t>
      </w:r>
      <w:r w:rsidR="008D356F">
        <w:rPr>
          <w:rFonts w:ascii="Arial" w:hAnsi="Arial" w:cs="Arial"/>
        </w:rPr>
        <w:t xml:space="preserve">Petition </w:t>
      </w:r>
      <w:r w:rsidR="005E2A3C">
        <w:rPr>
          <w:rFonts w:ascii="Arial" w:hAnsi="Arial" w:cs="Arial"/>
        </w:rPr>
        <w:t>Action</w:t>
      </w:r>
      <w:r w:rsidR="008D356F">
        <w:rPr>
          <w:rFonts w:ascii="Arial" w:hAnsi="Arial" w:cs="Arial"/>
        </w:rPr>
        <w:t xml:space="preserve"> No. 10 of 1982</w:t>
      </w:r>
      <w:r w:rsidR="005E2A3C">
        <w:rPr>
          <w:rFonts w:ascii="Arial" w:hAnsi="Arial" w:cs="Arial"/>
        </w:rPr>
        <w:t>. The 1</w:t>
      </w:r>
      <w:r w:rsidR="005E2A3C" w:rsidRPr="005E2A3C">
        <w:rPr>
          <w:rFonts w:ascii="Arial" w:hAnsi="Arial" w:cs="Arial"/>
          <w:vertAlign w:val="superscript"/>
        </w:rPr>
        <w:t>st</w:t>
      </w:r>
      <w:r w:rsidR="005E2A3C">
        <w:rPr>
          <w:rFonts w:ascii="Arial" w:hAnsi="Arial" w:cs="Arial"/>
        </w:rPr>
        <w:t xml:space="preserve"> Defendant was the Petitioner and the 2</w:t>
      </w:r>
      <w:r w:rsidR="005E2A3C" w:rsidRPr="005E2A3C">
        <w:rPr>
          <w:rFonts w:ascii="Arial" w:hAnsi="Arial" w:cs="Arial"/>
          <w:vertAlign w:val="superscript"/>
        </w:rPr>
        <w:t>nd</w:t>
      </w:r>
      <w:r w:rsidR="005E2A3C">
        <w:rPr>
          <w:rFonts w:ascii="Arial" w:hAnsi="Arial" w:cs="Arial"/>
        </w:rPr>
        <w:t xml:space="preserve"> Defendant was an adverse claimant</w:t>
      </w:r>
      <w:r w:rsidR="008D356F">
        <w:rPr>
          <w:rFonts w:ascii="Arial" w:hAnsi="Arial" w:cs="Arial"/>
        </w:rPr>
        <w:t>. The 2</w:t>
      </w:r>
      <w:r w:rsidR="008D356F" w:rsidRPr="008D356F">
        <w:rPr>
          <w:rFonts w:ascii="Arial" w:hAnsi="Arial" w:cs="Arial"/>
          <w:vertAlign w:val="superscript"/>
        </w:rPr>
        <w:t>nd</w:t>
      </w:r>
      <w:r w:rsidR="008D356F">
        <w:rPr>
          <w:rFonts w:ascii="Arial" w:hAnsi="Arial" w:cs="Arial"/>
        </w:rPr>
        <w:t xml:space="preserve"> Defendant</w:t>
      </w:r>
      <w:r w:rsidR="00583AA6">
        <w:rPr>
          <w:rFonts w:ascii="Arial" w:hAnsi="Arial" w:cs="Arial"/>
        </w:rPr>
        <w:t xml:space="preserve"> bought the land in question from the 1</w:t>
      </w:r>
      <w:r w:rsidR="00583AA6" w:rsidRPr="00583AA6">
        <w:rPr>
          <w:rFonts w:ascii="Arial" w:hAnsi="Arial" w:cs="Arial"/>
          <w:vertAlign w:val="superscript"/>
        </w:rPr>
        <w:t>st</w:t>
      </w:r>
      <w:r w:rsidR="00583AA6">
        <w:rPr>
          <w:rFonts w:ascii="Arial" w:hAnsi="Arial" w:cs="Arial"/>
        </w:rPr>
        <w:t xml:space="preserve"> Defendant while the action was extant</w:t>
      </w:r>
      <w:r w:rsidR="005E2A3C">
        <w:rPr>
          <w:rFonts w:ascii="Arial" w:hAnsi="Arial" w:cs="Arial"/>
        </w:rPr>
        <w:t>.</w:t>
      </w:r>
    </w:p>
    <w:p w:rsidR="00583AA6" w:rsidRDefault="00583AA6" w:rsidP="001A6F62">
      <w:pPr>
        <w:jc w:val="both"/>
        <w:rPr>
          <w:rFonts w:ascii="Arial" w:hAnsi="Arial" w:cs="Arial"/>
        </w:rPr>
      </w:pPr>
    </w:p>
    <w:p w:rsidR="006229AA" w:rsidRDefault="00B77B30" w:rsidP="001A6F62">
      <w:pPr>
        <w:jc w:val="both"/>
        <w:rPr>
          <w:rFonts w:ascii="Arial" w:hAnsi="Arial" w:cs="Arial"/>
        </w:rPr>
      </w:pPr>
      <w:r>
        <w:rPr>
          <w:rFonts w:ascii="Arial" w:hAnsi="Arial" w:cs="Arial"/>
        </w:rPr>
        <w:t>At a di</w:t>
      </w:r>
      <w:r w:rsidR="00583AA6">
        <w:rPr>
          <w:rFonts w:ascii="Arial" w:hAnsi="Arial" w:cs="Arial"/>
        </w:rPr>
        <w:t xml:space="preserve">rections hearing, the trial judge ordered a trial on submissions only but when the matter came for trial, an application was made to strike out the Plaintiff’s case for want of prosecution due to inordinate and inexcusable delay. Instead of proceeding with the trial on submissions only, he entertained the </w:t>
      </w:r>
      <w:r w:rsidR="006229AA">
        <w:rPr>
          <w:rFonts w:ascii="Arial" w:hAnsi="Arial" w:cs="Arial"/>
        </w:rPr>
        <w:t>application and dismissed the case against the 2</w:t>
      </w:r>
      <w:r w:rsidR="006229AA" w:rsidRPr="006229AA">
        <w:rPr>
          <w:rFonts w:ascii="Arial" w:hAnsi="Arial" w:cs="Arial"/>
          <w:vertAlign w:val="superscript"/>
        </w:rPr>
        <w:t>nd</w:t>
      </w:r>
      <w:r w:rsidR="006229AA">
        <w:rPr>
          <w:rFonts w:ascii="Arial" w:hAnsi="Arial" w:cs="Arial"/>
        </w:rPr>
        <w:t xml:space="preserve"> defendant for want of prosecution. He however, set aside the 1</w:t>
      </w:r>
      <w:r w:rsidR="006229AA" w:rsidRPr="006229AA">
        <w:rPr>
          <w:rFonts w:ascii="Arial" w:hAnsi="Arial" w:cs="Arial"/>
          <w:vertAlign w:val="superscript"/>
        </w:rPr>
        <w:t>st</w:t>
      </w:r>
      <w:r w:rsidR="006229AA">
        <w:rPr>
          <w:rFonts w:ascii="Arial" w:hAnsi="Arial" w:cs="Arial"/>
        </w:rPr>
        <w:t xml:space="preserve"> Defendant’s certificate of title for fraud. </w:t>
      </w:r>
    </w:p>
    <w:p w:rsidR="006229AA" w:rsidRDefault="006229AA" w:rsidP="001A6F62">
      <w:pPr>
        <w:jc w:val="both"/>
        <w:rPr>
          <w:rFonts w:ascii="Arial" w:hAnsi="Arial" w:cs="Arial"/>
        </w:rPr>
      </w:pPr>
    </w:p>
    <w:p w:rsidR="0013472B" w:rsidRDefault="00583AA6" w:rsidP="001A6F62">
      <w:pPr>
        <w:jc w:val="both"/>
        <w:rPr>
          <w:rFonts w:ascii="Arial" w:hAnsi="Arial" w:cs="Arial"/>
        </w:rPr>
      </w:pPr>
      <w:r>
        <w:rPr>
          <w:rFonts w:ascii="Arial" w:hAnsi="Arial" w:cs="Arial"/>
        </w:rPr>
        <w:t xml:space="preserve">The Plaintiff appealed the decision of the trial judge in </w:t>
      </w:r>
      <w:proofErr w:type="spellStart"/>
      <w:r>
        <w:rPr>
          <w:rFonts w:ascii="Arial" w:hAnsi="Arial" w:cs="Arial"/>
        </w:rPr>
        <w:t>favour</w:t>
      </w:r>
      <w:proofErr w:type="spellEnd"/>
      <w:r>
        <w:rPr>
          <w:rFonts w:ascii="Arial" w:hAnsi="Arial" w:cs="Arial"/>
        </w:rPr>
        <w:t xml:space="preserve"> of the 2</w:t>
      </w:r>
      <w:r w:rsidRPr="00583AA6">
        <w:rPr>
          <w:rFonts w:ascii="Arial" w:hAnsi="Arial" w:cs="Arial"/>
          <w:vertAlign w:val="superscript"/>
        </w:rPr>
        <w:t>nd</w:t>
      </w:r>
      <w:r>
        <w:rPr>
          <w:rFonts w:ascii="Arial" w:hAnsi="Arial" w:cs="Arial"/>
        </w:rPr>
        <w:t xml:space="preserve"> defendant to the Court of Appeal. For reasons, which the Court of Appeal found puzzling, it remitted </w:t>
      </w:r>
      <w:r w:rsidR="006229AA">
        <w:rPr>
          <w:rFonts w:ascii="Arial" w:hAnsi="Arial" w:cs="Arial"/>
        </w:rPr>
        <w:t xml:space="preserve">the matter </w:t>
      </w:r>
      <w:r>
        <w:rPr>
          <w:rFonts w:ascii="Arial" w:hAnsi="Arial" w:cs="Arial"/>
        </w:rPr>
        <w:t>to the Supreme Court for a trial on submissions only.</w:t>
      </w:r>
    </w:p>
    <w:p w:rsidR="00583AA6" w:rsidRDefault="00583AA6" w:rsidP="001A6F62">
      <w:pPr>
        <w:jc w:val="both"/>
        <w:rPr>
          <w:rFonts w:ascii="Arial" w:hAnsi="Arial" w:cs="Arial"/>
        </w:rPr>
      </w:pPr>
    </w:p>
    <w:p w:rsidR="00583AA6" w:rsidRDefault="00583AA6" w:rsidP="001A6F62">
      <w:pPr>
        <w:jc w:val="both"/>
        <w:rPr>
          <w:rFonts w:ascii="Arial" w:hAnsi="Arial" w:cs="Arial"/>
        </w:rPr>
      </w:pPr>
      <w:r>
        <w:rPr>
          <w:rFonts w:ascii="Arial" w:hAnsi="Arial" w:cs="Arial"/>
        </w:rPr>
        <w:t>The 2</w:t>
      </w:r>
      <w:r w:rsidRPr="00583AA6">
        <w:rPr>
          <w:rFonts w:ascii="Arial" w:hAnsi="Arial" w:cs="Arial"/>
          <w:vertAlign w:val="superscript"/>
        </w:rPr>
        <w:t>nd</w:t>
      </w:r>
      <w:r>
        <w:rPr>
          <w:rFonts w:ascii="Arial" w:hAnsi="Arial" w:cs="Arial"/>
        </w:rPr>
        <w:t xml:space="preserve"> Defendant alleged that since the Plaintiff has alleged fraud as against the 2</w:t>
      </w:r>
      <w:r w:rsidRPr="00583AA6">
        <w:rPr>
          <w:rFonts w:ascii="Arial" w:hAnsi="Arial" w:cs="Arial"/>
          <w:vertAlign w:val="superscript"/>
        </w:rPr>
        <w:t>nd</w:t>
      </w:r>
      <w:r>
        <w:rPr>
          <w:rFonts w:ascii="Arial" w:hAnsi="Arial" w:cs="Arial"/>
        </w:rPr>
        <w:t xml:space="preserve"> defendant, there ought to</w:t>
      </w:r>
      <w:r w:rsidR="00B77B30">
        <w:rPr>
          <w:rFonts w:ascii="Arial" w:hAnsi="Arial" w:cs="Arial"/>
        </w:rPr>
        <w:t xml:space="preserve"> have been</w:t>
      </w:r>
      <w:r>
        <w:rPr>
          <w:rFonts w:ascii="Arial" w:hAnsi="Arial" w:cs="Arial"/>
        </w:rPr>
        <w:t xml:space="preserve"> a full-blown trial </w:t>
      </w:r>
      <w:r w:rsidR="006229AA">
        <w:rPr>
          <w:rFonts w:ascii="Arial" w:hAnsi="Arial" w:cs="Arial"/>
        </w:rPr>
        <w:t xml:space="preserve">with witnesses’ testimony </w:t>
      </w:r>
      <w:r>
        <w:rPr>
          <w:rFonts w:ascii="Arial" w:hAnsi="Arial" w:cs="Arial"/>
        </w:rPr>
        <w:t>and as a consequence of the remitting order, the</w:t>
      </w:r>
      <w:r w:rsidR="00B77B30">
        <w:rPr>
          <w:rFonts w:ascii="Arial" w:hAnsi="Arial" w:cs="Arial"/>
        </w:rPr>
        <w:t xml:space="preserve">re can be no such trial and therefore, the </w:t>
      </w:r>
      <w:r>
        <w:rPr>
          <w:rFonts w:ascii="Arial" w:hAnsi="Arial" w:cs="Arial"/>
        </w:rPr>
        <w:t>action ought to be dismissed. The 2</w:t>
      </w:r>
      <w:r w:rsidRPr="00583AA6">
        <w:rPr>
          <w:rFonts w:ascii="Arial" w:hAnsi="Arial" w:cs="Arial"/>
          <w:vertAlign w:val="superscript"/>
        </w:rPr>
        <w:t>nd</w:t>
      </w:r>
      <w:r>
        <w:rPr>
          <w:rFonts w:ascii="Arial" w:hAnsi="Arial" w:cs="Arial"/>
        </w:rPr>
        <w:t xml:space="preserve"> Defendants raised a number of </w:t>
      </w:r>
      <w:r w:rsidR="00B77B30">
        <w:rPr>
          <w:rFonts w:ascii="Arial" w:hAnsi="Arial" w:cs="Arial"/>
        </w:rPr>
        <w:t xml:space="preserve">other </w:t>
      </w:r>
      <w:r>
        <w:rPr>
          <w:rFonts w:ascii="Arial" w:hAnsi="Arial" w:cs="Arial"/>
        </w:rPr>
        <w:t>issues</w:t>
      </w:r>
      <w:r w:rsidR="00B77B30">
        <w:rPr>
          <w:rFonts w:ascii="Arial" w:hAnsi="Arial" w:cs="Arial"/>
        </w:rPr>
        <w:t xml:space="preserve">; some of </w:t>
      </w:r>
      <w:r>
        <w:rPr>
          <w:rFonts w:ascii="Arial" w:hAnsi="Arial" w:cs="Arial"/>
        </w:rPr>
        <w:t xml:space="preserve">which </w:t>
      </w:r>
      <w:r w:rsidR="00B77B30">
        <w:rPr>
          <w:rFonts w:ascii="Arial" w:hAnsi="Arial" w:cs="Arial"/>
        </w:rPr>
        <w:t xml:space="preserve">have </w:t>
      </w:r>
      <w:r>
        <w:rPr>
          <w:rFonts w:ascii="Arial" w:hAnsi="Arial" w:cs="Arial"/>
        </w:rPr>
        <w:t>already adjudicated upon and/or irrelevant as to whether the 2</w:t>
      </w:r>
      <w:r w:rsidRPr="00583AA6">
        <w:rPr>
          <w:rFonts w:ascii="Arial" w:hAnsi="Arial" w:cs="Arial"/>
          <w:vertAlign w:val="superscript"/>
        </w:rPr>
        <w:t>nd</w:t>
      </w:r>
      <w:r>
        <w:rPr>
          <w:rFonts w:ascii="Arial" w:hAnsi="Arial" w:cs="Arial"/>
        </w:rPr>
        <w:t xml:space="preserve"> defendant’s certificate of title ought to be set aside.</w:t>
      </w:r>
    </w:p>
    <w:p w:rsidR="0013472B" w:rsidRDefault="00583AA6" w:rsidP="001A6F62">
      <w:pPr>
        <w:jc w:val="both"/>
        <w:rPr>
          <w:rFonts w:ascii="Arial" w:hAnsi="Arial" w:cs="Arial"/>
        </w:rPr>
      </w:pPr>
      <w:r>
        <w:rPr>
          <w:rFonts w:ascii="Arial" w:hAnsi="Arial" w:cs="Arial"/>
        </w:rPr>
        <w:t xml:space="preserve"> </w:t>
      </w:r>
    </w:p>
    <w:p w:rsidR="00B77B30" w:rsidRDefault="00B77B30" w:rsidP="001A6F62">
      <w:pPr>
        <w:ind w:left="1440" w:hanging="1440"/>
        <w:jc w:val="both"/>
        <w:rPr>
          <w:rFonts w:ascii="Arial" w:hAnsi="Arial" w:cs="Arial"/>
          <w:b/>
          <w:u w:val="single"/>
        </w:rPr>
      </w:pPr>
      <w:r>
        <w:rPr>
          <w:rFonts w:ascii="Arial" w:hAnsi="Arial" w:cs="Arial"/>
          <w:b/>
          <w:u w:val="single"/>
        </w:rPr>
        <w:t>HELD:</w:t>
      </w:r>
    </w:p>
    <w:p w:rsidR="00B77B30" w:rsidRPr="00B77B30" w:rsidRDefault="00B77B30" w:rsidP="001A6F62">
      <w:pPr>
        <w:ind w:left="1440" w:hanging="1440"/>
        <w:jc w:val="both"/>
        <w:rPr>
          <w:rFonts w:ascii="Arial" w:hAnsi="Arial" w:cs="Arial"/>
          <w:b/>
        </w:rPr>
      </w:pPr>
    </w:p>
    <w:p w:rsidR="0013472B" w:rsidRPr="00B77B30" w:rsidRDefault="00B77B30" w:rsidP="00B77B30">
      <w:pPr>
        <w:jc w:val="both"/>
        <w:rPr>
          <w:rFonts w:ascii="Arial" w:hAnsi="Arial" w:cs="Arial"/>
          <w:b/>
          <w:u w:val="single"/>
        </w:rPr>
      </w:pPr>
      <w:r w:rsidRPr="00B77B30">
        <w:rPr>
          <w:rFonts w:ascii="Arial" w:hAnsi="Arial" w:cs="Arial"/>
          <w:b/>
        </w:rPr>
        <w:t xml:space="preserve">Declaring that the </w:t>
      </w:r>
      <w:r w:rsidR="001A6F62" w:rsidRPr="00B77B30">
        <w:rPr>
          <w:rFonts w:ascii="Arial" w:hAnsi="Arial" w:cs="Arial"/>
          <w:b/>
        </w:rPr>
        <w:t xml:space="preserve">certificate of title granted to </w:t>
      </w:r>
      <w:proofErr w:type="spellStart"/>
      <w:r w:rsidR="001A6F62" w:rsidRPr="00B77B30">
        <w:rPr>
          <w:rFonts w:ascii="Arial" w:hAnsi="Arial" w:cs="Arial"/>
          <w:b/>
        </w:rPr>
        <w:t>Eleazor</w:t>
      </w:r>
      <w:proofErr w:type="spellEnd"/>
      <w:r w:rsidR="001A6F62" w:rsidRPr="00B77B30">
        <w:rPr>
          <w:rFonts w:ascii="Arial" w:hAnsi="Arial" w:cs="Arial"/>
          <w:b/>
        </w:rPr>
        <w:t xml:space="preserve"> Ferguson on 28 January 1985</w:t>
      </w:r>
      <w:r w:rsidRPr="00B77B30">
        <w:rPr>
          <w:rFonts w:ascii="Arial" w:hAnsi="Arial" w:cs="Arial"/>
          <w:b/>
        </w:rPr>
        <w:t xml:space="preserve"> is null and void and of no effect </w:t>
      </w:r>
    </w:p>
    <w:p w:rsidR="008D784A" w:rsidRPr="00B77B30" w:rsidRDefault="008D784A" w:rsidP="001A6F62">
      <w:pPr>
        <w:jc w:val="both"/>
        <w:rPr>
          <w:rFonts w:ascii="Arial" w:hAnsi="Arial" w:cs="Arial"/>
          <w:u w:val="single"/>
        </w:rPr>
      </w:pPr>
    </w:p>
    <w:p w:rsidR="006229AA" w:rsidRDefault="006229AA" w:rsidP="00B77B30">
      <w:pPr>
        <w:pStyle w:val="ListParagraph"/>
        <w:numPr>
          <w:ilvl w:val="0"/>
          <w:numId w:val="18"/>
        </w:numPr>
        <w:jc w:val="both"/>
        <w:rPr>
          <w:rFonts w:ascii="Arial" w:hAnsi="Arial" w:cs="Arial"/>
        </w:rPr>
      </w:pPr>
      <w:r w:rsidRPr="00B77B30">
        <w:rPr>
          <w:rFonts w:ascii="Arial" w:hAnsi="Arial" w:cs="Arial"/>
        </w:rPr>
        <w:t xml:space="preserve">A full blown-trial </w:t>
      </w:r>
      <w:r w:rsidR="001A6F62" w:rsidRPr="00B77B30">
        <w:rPr>
          <w:rFonts w:ascii="Arial" w:hAnsi="Arial" w:cs="Arial"/>
        </w:rPr>
        <w:t xml:space="preserve">would have been a colossal waste of </w:t>
      </w:r>
      <w:r w:rsidRPr="00B77B30">
        <w:rPr>
          <w:rFonts w:ascii="Arial" w:hAnsi="Arial" w:cs="Arial"/>
        </w:rPr>
        <w:t>precious judicial time as there ar</w:t>
      </w:r>
      <w:r w:rsidR="001A6F62" w:rsidRPr="00B77B30">
        <w:rPr>
          <w:rFonts w:ascii="Arial" w:hAnsi="Arial" w:cs="Arial"/>
        </w:rPr>
        <w:t>e no issues of fact to be tried;</w:t>
      </w:r>
    </w:p>
    <w:p w:rsidR="003C66FA" w:rsidRDefault="003C66FA" w:rsidP="003C66FA">
      <w:pPr>
        <w:pStyle w:val="ListParagraph"/>
        <w:jc w:val="both"/>
        <w:rPr>
          <w:rFonts w:ascii="Arial" w:hAnsi="Arial" w:cs="Arial"/>
        </w:rPr>
      </w:pPr>
    </w:p>
    <w:p w:rsidR="006229AA" w:rsidRPr="003C66FA" w:rsidRDefault="006229AA" w:rsidP="003C66FA">
      <w:pPr>
        <w:pStyle w:val="ListParagraph"/>
        <w:numPr>
          <w:ilvl w:val="0"/>
          <w:numId w:val="18"/>
        </w:numPr>
        <w:jc w:val="both"/>
        <w:rPr>
          <w:rFonts w:ascii="Arial" w:hAnsi="Arial" w:cs="Arial"/>
        </w:rPr>
      </w:pPr>
      <w:r w:rsidRPr="003C66FA">
        <w:rPr>
          <w:rFonts w:ascii="Arial" w:hAnsi="Arial" w:cs="Arial"/>
        </w:rPr>
        <w:t>Previous rulings of the courts have highlighted overwhelming evidence of fraud committed by the 1</w:t>
      </w:r>
      <w:r w:rsidRPr="003C66FA">
        <w:rPr>
          <w:rFonts w:ascii="Arial" w:hAnsi="Arial" w:cs="Arial"/>
          <w:vertAlign w:val="superscript"/>
        </w:rPr>
        <w:t>st</w:t>
      </w:r>
      <w:r w:rsidRPr="003C66FA">
        <w:rPr>
          <w:rFonts w:ascii="Arial" w:hAnsi="Arial" w:cs="Arial"/>
        </w:rPr>
        <w:t xml:space="preserve"> Defendant.</w:t>
      </w:r>
    </w:p>
    <w:p w:rsidR="006229AA" w:rsidRPr="00B77B30" w:rsidRDefault="006229AA" w:rsidP="001A6F62">
      <w:pPr>
        <w:pStyle w:val="ListParagraph"/>
        <w:jc w:val="both"/>
        <w:rPr>
          <w:rFonts w:ascii="Arial" w:hAnsi="Arial" w:cs="Arial"/>
        </w:rPr>
      </w:pPr>
    </w:p>
    <w:p w:rsidR="008D784A" w:rsidRPr="003C66FA" w:rsidRDefault="006229AA" w:rsidP="003C66FA">
      <w:pPr>
        <w:pStyle w:val="ListParagraph"/>
        <w:numPr>
          <w:ilvl w:val="0"/>
          <w:numId w:val="18"/>
        </w:numPr>
        <w:jc w:val="both"/>
        <w:rPr>
          <w:rFonts w:ascii="Arial" w:hAnsi="Arial" w:cs="Arial"/>
        </w:rPr>
      </w:pPr>
      <w:r w:rsidRPr="003C66FA">
        <w:rPr>
          <w:rFonts w:ascii="Arial" w:hAnsi="Arial" w:cs="Arial"/>
        </w:rPr>
        <w:t xml:space="preserve">The same fraudulence </w:t>
      </w:r>
      <w:r w:rsidR="008D784A" w:rsidRPr="003C66FA">
        <w:rPr>
          <w:rFonts w:ascii="Arial" w:hAnsi="Arial" w:cs="Arial"/>
          <w:lang w:val="en-GB"/>
        </w:rPr>
        <w:t>that doomed the certificate of title granted to the 1</w:t>
      </w:r>
      <w:r w:rsidR="008D784A" w:rsidRPr="003C66FA">
        <w:rPr>
          <w:rFonts w:ascii="Arial" w:hAnsi="Arial" w:cs="Arial"/>
          <w:vertAlign w:val="superscript"/>
          <w:lang w:val="en-GB"/>
        </w:rPr>
        <w:t>st</w:t>
      </w:r>
      <w:r w:rsidR="008D784A" w:rsidRPr="003C66FA">
        <w:rPr>
          <w:rFonts w:ascii="Arial" w:hAnsi="Arial" w:cs="Arial"/>
          <w:lang w:val="en-GB"/>
        </w:rPr>
        <w:t xml:space="preserve"> Defendant must of necessity taint </w:t>
      </w:r>
      <w:r w:rsidR="00992EF8">
        <w:rPr>
          <w:rFonts w:ascii="Arial" w:hAnsi="Arial" w:cs="Arial"/>
          <w:lang w:val="en-GB"/>
        </w:rPr>
        <w:t>and doom the certificate of title</w:t>
      </w:r>
      <w:r w:rsidR="008D784A" w:rsidRPr="003C66FA">
        <w:rPr>
          <w:rFonts w:ascii="Arial" w:hAnsi="Arial" w:cs="Arial"/>
          <w:lang w:val="en-GB"/>
        </w:rPr>
        <w:t xml:space="preserve"> granted to the 2</w:t>
      </w:r>
      <w:r w:rsidR="008D784A" w:rsidRPr="003C66FA">
        <w:rPr>
          <w:rFonts w:ascii="Arial" w:hAnsi="Arial" w:cs="Arial"/>
          <w:vertAlign w:val="superscript"/>
          <w:lang w:val="en-GB"/>
        </w:rPr>
        <w:t>nd</w:t>
      </w:r>
      <w:r w:rsidR="008D784A" w:rsidRPr="003C66FA">
        <w:rPr>
          <w:rFonts w:ascii="Arial" w:hAnsi="Arial" w:cs="Arial"/>
          <w:lang w:val="en-GB"/>
        </w:rPr>
        <w:t xml:space="preserve"> Defendant since the certificate of title granted to the 2</w:t>
      </w:r>
      <w:r w:rsidR="008D784A" w:rsidRPr="003C66FA">
        <w:rPr>
          <w:rFonts w:ascii="Arial" w:hAnsi="Arial" w:cs="Arial"/>
          <w:vertAlign w:val="superscript"/>
          <w:lang w:val="en-GB"/>
        </w:rPr>
        <w:t>nd</w:t>
      </w:r>
      <w:r w:rsidR="008D784A" w:rsidRPr="003C66FA">
        <w:rPr>
          <w:rFonts w:ascii="Arial" w:hAnsi="Arial" w:cs="Arial"/>
          <w:lang w:val="en-GB"/>
        </w:rPr>
        <w:t xml:space="preserve"> defendant was grounded on the Petition of the 1</w:t>
      </w:r>
      <w:r w:rsidR="008D784A" w:rsidRPr="003C66FA">
        <w:rPr>
          <w:rFonts w:ascii="Arial" w:hAnsi="Arial" w:cs="Arial"/>
          <w:vertAlign w:val="superscript"/>
          <w:lang w:val="en-GB"/>
        </w:rPr>
        <w:t>st</w:t>
      </w:r>
      <w:r w:rsidR="008D784A" w:rsidRPr="003C66FA">
        <w:rPr>
          <w:rFonts w:ascii="Arial" w:hAnsi="Arial" w:cs="Arial"/>
          <w:lang w:val="en-GB"/>
        </w:rPr>
        <w:t xml:space="preserve"> Defendant.</w:t>
      </w:r>
    </w:p>
    <w:p w:rsidR="008D784A" w:rsidRPr="00B77B30" w:rsidRDefault="008D784A" w:rsidP="001A6F62">
      <w:pPr>
        <w:pStyle w:val="ListParagraph"/>
        <w:jc w:val="both"/>
        <w:rPr>
          <w:rFonts w:ascii="Arial" w:hAnsi="Arial" w:cs="Arial"/>
        </w:rPr>
      </w:pPr>
    </w:p>
    <w:p w:rsidR="008D784A" w:rsidRPr="003C66FA" w:rsidRDefault="008D784A" w:rsidP="003C66FA">
      <w:pPr>
        <w:pStyle w:val="ListParagraph"/>
        <w:numPr>
          <w:ilvl w:val="0"/>
          <w:numId w:val="18"/>
        </w:numPr>
        <w:jc w:val="both"/>
        <w:rPr>
          <w:rFonts w:ascii="Arial" w:hAnsi="Arial" w:cs="Arial"/>
        </w:rPr>
      </w:pPr>
      <w:r w:rsidRPr="003C66FA">
        <w:rPr>
          <w:rFonts w:ascii="Arial" w:hAnsi="Arial" w:cs="Arial"/>
        </w:rPr>
        <w:t>The 2</w:t>
      </w:r>
      <w:r w:rsidRPr="003C66FA">
        <w:rPr>
          <w:rFonts w:ascii="Arial" w:hAnsi="Arial" w:cs="Arial"/>
          <w:vertAlign w:val="superscript"/>
        </w:rPr>
        <w:t>nd</w:t>
      </w:r>
      <w:r w:rsidRPr="003C66FA">
        <w:rPr>
          <w:rFonts w:ascii="Arial" w:hAnsi="Arial" w:cs="Arial"/>
        </w:rPr>
        <w:t xml:space="preserve"> Defendant could have put in some evidence, affidavit or documentary to show that he was a bona fide purchaser for value without notice. This he has failed to do.</w:t>
      </w:r>
    </w:p>
    <w:p w:rsidR="00B77B30" w:rsidRDefault="00B77B30" w:rsidP="00B77B30">
      <w:pPr>
        <w:rPr>
          <w:rFonts w:ascii="Arial" w:hAnsi="Arial" w:cs="Arial"/>
        </w:rPr>
      </w:pPr>
    </w:p>
    <w:p w:rsidR="00B77B30" w:rsidRPr="00B77B30" w:rsidRDefault="00B77B30" w:rsidP="00B77B30">
      <w:pPr>
        <w:jc w:val="both"/>
        <w:rPr>
          <w:rFonts w:ascii="Arial" w:hAnsi="Arial" w:cs="Arial"/>
          <w:b/>
        </w:rPr>
      </w:pPr>
      <w:r w:rsidRPr="00B77B30">
        <w:rPr>
          <w:rFonts w:ascii="Arial" w:hAnsi="Arial" w:cs="Arial"/>
          <w:b/>
        </w:rPr>
        <w:t>Cases referred to in the judgment</w:t>
      </w:r>
    </w:p>
    <w:p w:rsidR="00B77B30" w:rsidRDefault="00B77B30" w:rsidP="00B77B30">
      <w:pPr>
        <w:pStyle w:val="ListParagraph"/>
        <w:numPr>
          <w:ilvl w:val="0"/>
          <w:numId w:val="19"/>
        </w:numPr>
        <w:jc w:val="both"/>
        <w:rPr>
          <w:rFonts w:ascii="Arial" w:hAnsi="Arial" w:cs="Arial"/>
        </w:rPr>
      </w:pPr>
      <w:r>
        <w:rPr>
          <w:rFonts w:ascii="Arial" w:hAnsi="Arial" w:cs="Arial"/>
        </w:rPr>
        <w:t xml:space="preserve">Texan Management Limited &amp; </w:t>
      </w:r>
      <w:proofErr w:type="spellStart"/>
      <w:r>
        <w:rPr>
          <w:rFonts w:ascii="Arial" w:hAnsi="Arial" w:cs="Arial"/>
        </w:rPr>
        <w:t>Ors</w:t>
      </w:r>
      <w:proofErr w:type="spellEnd"/>
      <w:r>
        <w:rPr>
          <w:rFonts w:ascii="Arial" w:hAnsi="Arial" w:cs="Arial"/>
        </w:rPr>
        <w:t xml:space="preserve"> v Pacific Electric Wire &amp; Cable Company Limited [2009] UKPC 46.</w:t>
      </w:r>
    </w:p>
    <w:p w:rsidR="008D784A" w:rsidRPr="00B77B30" w:rsidRDefault="008D784A" w:rsidP="00B77B30">
      <w:pPr>
        <w:pStyle w:val="ListParagraph"/>
        <w:numPr>
          <w:ilvl w:val="0"/>
          <w:numId w:val="19"/>
        </w:numPr>
        <w:jc w:val="both"/>
        <w:rPr>
          <w:rFonts w:ascii="Arial" w:hAnsi="Arial" w:cs="Arial"/>
        </w:rPr>
      </w:pPr>
      <w:r w:rsidRPr="00B77B30">
        <w:rPr>
          <w:rFonts w:ascii="Arial" w:hAnsi="Arial" w:cs="Arial"/>
        </w:rPr>
        <w:t>C.B. Bahamas Limited v Arawak Homes Limited No. 355 of 1985 (unreported)</w:t>
      </w:r>
      <w:r w:rsidR="00B4365D" w:rsidRPr="00B77B30">
        <w:rPr>
          <w:rFonts w:ascii="Arial" w:hAnsi="Arial" w:cs="Arial"/>
        </w:rPr>
        <w:t>.</w:t>
      </w:r>
    </w:p>
    <w:p w:rsidR="008D784A" w:rsidRPr="00B77B30" w:rsidRDefault="008D784A" w:rsidP="00B77B30">
      <w:pPr>
        <w:pStyle w:val="ListParagraph"/>
        <w:numPr>
          <w:ilvl w:val="0"/>
          <w:numId w:val="19"/>
        </w:numPr>
        <w:jc w:val="both"/>
        <w:rPr>
          <w:rFonts w:ascii="Arial" w:hAnsi="Arial" w:cs="Arial"/>
        </w:rPr>
      </w:pPr>
      <w:r w:rsidRPr="00B77B30">
        <w:rPr>
          <w:rFonts w:ascii="Arial" w:hAnsi="Arial" w:cs="Arial"/>
        </w:rPr>
        <w:t xml:space="preserve">C.B. Bahamas Limited v Arawak Homes Limited Civil Appeal No. </w:t>
      </w:r>
      <w:r w:rsidR="00B4365D" w:rsidRPr="00B77B30">
        <w:rPr>
          <w:rFonts w:ascii="Arial" w:hAnsi="Arial" w:cs="Arial"/>
        </w:rPr>
        <w:t>11 of 1987; Court of Appeal, Bahamas (unreported).</w:t>
      </w:r>
    </w:p>
    <w:p w:rsidR="00B4365D" w:rsidRPr="00B77B30" w:rsidRDefault="00B4365D" w:rsidP="00B77B30">
      <w:pPr>
        <w:pStyle w:val="ListParagraph"/>
        <w:numPr>
          <w:ilvl w:val="0"/>
          <w:numId w:val="19"/>
        </w:numPr>
        <w:jc w:val="both"/>
        <w:rPr>
          <w:rFonts w:ascii="Arial" w:hAnsi="Arial" w:cs="Arial"/>
        </w:rPr>
      </w:pPr>
      <w:r w:rsidRPr="00B77B30">
        <w:rPr>
          <w:rFonts w:ascii="Arial" w:hAnsi="Arial" w:cs="Arial"/>
        </w:rPr>
        <w:t xml:space="preserve">Arawak Homes Limited v </w:t>
      </w:r>
      <w:proofErr w:type="spellStart"/>
      <w:r w:rsidRPr="00B77B30">
        <w:rPr>
          <w:rFonts w:ascii="Arial" w:hAnsi="Arial" w:cs="Arial"/>
        </w:rPr>
        <w:t>Mergil</w:t>
      </w:r>
      <w:proofErr w:type="spellEnd"/>
      <w:r w:rsidRPr="00B77B30">
        <w:rPr>
          <w:rFonts w:ascii="Arial" w:hAnsi="Arial" w:cs="Arial"/>
        </w:rPr>
        <w:t xml:space="preserve"> Chisholm Johnson (as Executrix of the Estate of Thaddeus Johnson, deceased) &amp; </w:t>
      </w:r>
      <w:proofErr w:type="spellStart"/>
      <w:r w:rsidRPr="00B77B30">
        <w:rPr>
          <w:rFonts w:ascii="Arial" w:hAnsi="Arial" w:cs="Arial"/>
        </w:rPr>
        <w:t>Ors</w:t>
      </w:r>
      <w:proofErr w:type="spellEnd"/>
      <w:r w:rsidRPr="00B77B30">
        <w:rPr>
          <w:rFonts w:ascii="Arial" w:hAnsi="Arial" w:cs="Arial"/>
        </w:rPr>
        <w:t xml:space="preserve"> – </w:t>
      </w:r>
      <w:r w:rsidR="00801EAA">
        <w:rPr>
          <w:rFonts w:ascii="Arial" w:hAnsi="Arial" w:cs="Arial"/>
        </w:rPr>
        <w:t>J</w:t>
      </w:r>
      <w:r w:rsidRPr="00B77B30">
        <w:rPr>
          <w:rFonts w:ascii="Arial" w:hAnsi="Arial" w:cs="Arial"/>
        </w:rPr>
        <w:t xml:space="preserve">udgment delivered </w:t>
      </w:r>
      <w:r w:rsidR="00801EAA">
        <w:rPr>
          <w:rFonts w:ascii="Arial" w:hAnsi="Arial" w:cs="Arial"/>
        </w:rPr>
        <w:t>by Allen J on 20 April 2004 [unreported]</w:t>
      </w:r>
    </w:p>
    <w:p w:rsidR="00B4365D" w:rsidRDefault="00B77B30" w:rsidP="00B77B30">
      <w:pPr>
        <w:pStyle w:val="ListParagraph"/>
        <w:numPr>
          <w:ilvl w:val="0"/>
          <w:numId w:val="19"/>
        </w:numPr>
        <w:jc w:val="both"/>
        <w:rPr>
          <w:rFonts w:ascii="Arial" w:hAnsi="Arial" w:cs="Arial"/>
        </w:rPr>
      </w:pPr>
      <w:r>
        <w:rPr>
          <w:rFonts w:ascii="Arial" w:hAnsi="Arial" w:cs="Arial"/>
        </w:rPr>
        <w:t>Dennis Dean and another v Arawak Homes Ltd [2014] UKPC 24</w:t>
      </w:r>
    </w:p>
    <w:p w:rsidR="00801EAA" w:rsidRPr="008D784A" w:rsidRDefault="00801EAA" w:rsidP="00B77B30">
      <w:pPr>
        <w:pStyle w:val="ListParagraph"/>
        <w:numPr>
          <w:ilvl w:val="0"/>
          <w:numId w:val="19"/>
        </w:numPr>
        <w:jc w:val="both"/>
        <w:rPr>
          <w:rFonts w:ascii="Arial" w:hAnsi="Arial" w:cs="Arial"/>
        </w:rPr>
      </w:pPr>
      <w:r>
        <w:rPr>
          <w:rFonts w:ascii="Arial" w:hAnsi="Arial" w:cs="Arial"/>
        </w:rPr>
        <w:t xml:space="preserve">Arawak Homes Limited v Neville N. Johnson &amp; </w:t>
      </w:r>
      <w:proofErr w:type="spellStart"/>
      <w:r>
        <w:rPr>
          <w:rFonts w:ascii="Arial" w:hAnsi="Arial" w:cs="Arial"/>
        </w:rPr>
        <w:t>Ors</w:t>
      </w:r>
      <w:proofErr w:type="spellEnd"/>
      <w:r>
        <w:rPr>
          <w:rFonts w:ascii="Arial" w:hAnsi="Arial" w:cs="Arial"/>
        </w:rPr>
        <w:t xml:space="preserve"> – Judgment delivered by </w:t>
      </w:r>
      <w:proofErr w:type="spellStart"/>
      <w:r>
        <w:rPr>
          <w:rFonts w:ascii="Arial" w:hAnsi="Arial" w:cs="Arial"/>
        </w:rPr>
        <w:t>Adderley</w:t>
      </w:r>
      <w:proofErr w:type="spellEnd"/>
      <w:r>
        <w:rPr>
          <w:rFonts w:ascii="Arial" w:hAnsi="Arial" w:cs="Arial"/>
        </w:rPr>
        <w:t xml:space="preserve"> J on 29 July 2011 [unreported]</w:t>
      </w:r>
    </w:p>
    <w:p w:rsidR="0013472B" w:rsidRPr="00AF115A" w:rsidRDefault="0013472B" w:rsidP="001A6F62">
      <w:pPr>
        <w:jc w:val="both"/>
        <w:rPr>
          <w:rFonts w:ascii="Arial" w:hAnsi="Arial" w:cs="Arial"/>
        </w:rPr>
      </w:pPr>
    </w:p>
    <w:p w:rsidR="00B77B30" w:rsidRDefault="00B77B30" w:rsidP="00FA2470">
      <w:pPr>
        <w:pStyle w:val="ListParagraph"/>
        <w:jc w:val="center"/>
        <w:rPr>
          <w:rFonts w:ascii="Arial" w:hAnsi="Arial" w:cs="Arial"/>
          <w:b/>
        </w:rPr>
      </w:pPr>
    </w:p>
    <w:p w:rsidR="0064455E" w:rsidRDefault="0064455E" w:rsidP="00FA2470">
      <w:pPr>
        <w:pStyle w:val="ListParagraph"/>
        <w:jc w:val="center"/>
        <w:rPr>
          <w:rFonts w:ascii="Arial" w:hAnsi="Arial" w:cs="Arial"/>
          <w:b/>
        </w:rPr>
      </w:pPr>
      <w:r>
        <w:rPr>
          <w:rFonts w:ascii="Arial" w:hAnsi="Arial" w:cs="Arial"/>
          <w:b/>
        </w:rPr>
        <w:t>JUDGMENT</w:t>
      </w:r>
    </w:p>
    <w:p w:rsidR="00DF5773" w:rsidRDefault="00DF5773" w:rsidP="00DF5773">
      <w:pPr>
        <w:rPr>
          <w:rFonts w:ascii="Arial" w:hAnsi="Arial" w:cs="Arial"/>
          <w:b/>
        </w:rPr>
      </w:pPr>
      <w:r>
        <w:rPr>
          <w:rFonts w:ascii="Arial" w:hAnsi="Arial" w:cs="Arial"/>
          <w:b/>
        </w:rPr>
        <w:t>Charles J:</w:t>
      </w:r>
    </w:p>
    <w:p w:rsidR="00DF5773" w:rsidRPr="00DF5773" w:rsidRDefault="00DF5773" w:rsidP="00DF5773">
      <w:pPr>
        <w:rPr>
          <w:rFonts w:ascii="Arial" w:hAnsi="Arial" w:cs="Arial"/>
          <w:b/>
        </w:rPr>
      </w:pPr>
    </w:p>
    <w:p w:rsidR="0064455E" w:rsidRPr="00577939" w:rsidRDefault="0064455E" w:rsidP="0064455E">
      <w:pPr>
        <w:spacing w:line="360" w:lineRule="auto"/>
        <w:rPr>
          <w:rFonts w:ascii="Arial" w:hAnsi="Arial" w:cs="Arial"/>
          <w:b/>
        </w:rPr>
      </w:pPr>
      <w:r>
        <w:rPr>
          <w:rFonts w:ascii="Arial" w:hAnsi="Arial" w:cs="Arial"/>
          <w:b/>
        </w:rPr>
        <w:t>Introduction</w:t>
      </w:r>
    </w:p>
    <w:p w:rsidR="00092BBD" w:rsidRDefault="00135BB3" w:rsidP="009E6593">
      <w:pPr>
        <w:pStyle w:val="ListParagraph"/>
        <w:numPr>
          <w:ilvl w:val="0"/>
          <w:numId w:val="2"/>
        </w:numPr>
        <w:spacing w:line="360" w:lineRule="auto"/>
        <w:jc w:val="both"/>
        <w:rPr>
          <w:rFonts w:ascii="Arial" w:hAnsi="Arial" w:cs="Arial"/>
        </w:rPr>
      </w:pPr>
      <w:r>
        <w:rPr>
          <w:rFonts w:ascii="Arial" w:hAnsi="Arial" w:cs="Arial"/>
        </w:rPr>
        <w:t xml:space="preserve">On 14 March 2016, the Court of Appeal remitted this action to the Supreme Court for trial on submissions only as against </w:t>
      </w:r>
      <w:r w:rsidR="00E5578E">
        <w:rPr>
          <w:rFonts w:ascii="Arial" w:hAnsi="Arial" w:cs="Arial"/>
        </w:rPr>
        <w:t>the 2</w:t>
      </w:r>
      <w:r w:rsidR="00E5578E" w:rsidRPr="00E5578E">
        <w:rPr>
          <w:rFonts w:ascii="Arial" w:hAnsi="Arial" w:cs="Arial"/>
          <w:vertAlign w:val="superscript"/>
        </w:rPr>
        <w:t>nd</w:t>
      </w:r>
      <w:r w:rsidR="00E5578E">
        <w:rPr>
          <w:rFonts w:ascii="Arial" w:hAnsi="Arial" w:cs="Arial"/>
        </w:rPr>
        <w:t xml:space="preserve"> Defendant, </w:t>
      </w:r>
      <w:proofErr w:type="spellStart"/>
      <w:r w:rsidR="002F6D08">
        <w:rPr>
          <w:rFonts w:ascii="Arial" w:hAnsi="Arial" w:cs="Arial"/>
        </w:rPr>
        <w:t>Ta</w:t>
      </w:r>
      <w:r w:rsidR="00AA3FB4">
        <w:rPr>
          <w:rFonts w:ascii="Arial" w:hAnsi="Arial" w:cs="Arial"/>
        </w:rPr>
        <w:t>n</w:t>
      </w:r>
      <w:r w:rsidR="002F6D08">
        <w:rPr>
          <w:rFonts w:ascii="Arial" w:hAnsi="Arial" w:cs="Arial"/>
        </w:rPr>
        <w:t>ica</w:t>
      </w:r>
      <w:proofErr w:type="spellEnd"/>
      <w:r w:rsidR="002F6D08">
        <w:rPr>
          <w:rFonts w:ascii="Arial" w:hAnsi="Arial" w:cs="Arial"/>
        </w:rPr>
        <w:t xml:space="preserve"> Ferguson </w:t>
      </w:r>
      <w:r w:rsidR="00E5578E">
        <w:rPr>
          <w:rFonts w:ascii="Arial" w:hAnsi="Arial" w:cs="Arial"/>
        </w:rPr>
        <w:t>(</w:t>
      </w:r>
      <w:r w:rsidR="002F6D08">
        <w:rPr>
          <w:rFonts w:ascii="Arial" w:hAnsi="Arial" w:cs="Arial"/>
        </w:rPr>
        <w:t>sub</w:t>
      </w:r>
      <w:r w:rsidR="00092BBD">
        <w:rPr>
          <w:rFonts w:ascii="Arial" w:hAnsi="Arial" w:cs="Arial"/>
        </w:rPr>
        <w:t xml:space="preserve">stituted for </w:t>
      </w:r>
      <w:proofErr w:type="spellStart"/>
      <w:r w:rsidR="00092BBD">
        <w:rPr>
          <w:rFonts w:ascii="Arial" w:hAnsi="Arial" w:cs="Arial"/>
        </w:rPr>
        <w:t>Eleazor</w:t>
      </w:r>
      <w:proofErr w:type="spellEnd"/>
      <w:r w:rsidR="00092BBD">
        <w:rPr>
          <w:rFonts w:ascii="Arial" w:hAnsi="Arial" w:cs="Arial"/>
        </w:rPr>
        <w:t xml:space="preserve"> Ferguson deceased</w:t>
      </w:r>
      <w:r w:rsidR="00E5578E">
        <w:rPr>
          <w:rFonts w:ascii="Arial" w:hAnsi="Arial" w:cs="Arial"/>
        </w:rPr>
        <w:t xml:space="preserve">) </w:t>
      </w:r>
      <w:r>
        <w:rPr>
          <w:rFonts w:ascii="Arial" w:hAnsi="Arial" w:cs="Arial"/>
        </w:rPr>
        <w:t xml:space="preserve">and </w:t>
      </w:r>
      <w:r w:rsidR="00BD413B">
        <w:rPr>
          <w:rFonts w:ascii="Arial" w:hAnsi="Arial" w:cs="Arial"/>
        </w:rPr>
        <w:t xml:space="preserve">for </w:t>
      </w:r>
      <w:r w:rsidR="0028432F">
        <w:rPr>
          <w:rFonts w:ascii="Arial" w:hAnsi="Arial" w:cs="Arial"/>
        </w:rPr>
        <w:t>the matter</w:t>
      </w:r>
      <w:r w:rsidR="00BD413B">
        <w:rPr>
          <w:rFonts w:ascii="Arial" w:hAnsi="Arial" w:cs="Arial"/>
        </w:rPr>
        <w:t xml:space="preserve"> </w:t>
      </w:r>
      <w:r>
        <w:rPr>
          <w:rFonts w:ascii="Arial" w:hAnsi="Arial" w:cs="Arial"/>
        </w:rPr>
        <w:t xml:space="preserve">to be heard expeditiously. </w:t>
      </w:r>
    </w:p>
    <w:p w:rsidR="00092BBD" w:rsidRDefault="00092BBD" w:rsidP="00B77B30">
      <w:pPr>
        <w:pStyle w:val="ListParagraph"/>
        <w:jc w:val="both"/>
        <w:rPr>
          <w:rFonts w:ascii="Arial" w:hAnsi="Arial" w:cs="Arial"/>
        </w:rPr>
      </w:pPr>
    </w:p>
    <w:p w:rsidR="00F878D9" w:rsidRPr="00801EAA" w:rsidRDefault="00135BB3" w:rsidP="00CE1F43">
      <w:pPr>
        <w:pStyle w:val="ListParagraph"/>
        <w:numPr>
          <w:ilvl w:val="0"/>
          <w:numId w:val="2"/>
        </w:numPr>
        <w:spacing w:line="360" w:lineRule="auto"/>
        <w:jc w:val="both"/>
        <w:rPr>
          <w:rFonts w:ascii="Arial" w:hAnsi="Arial" w:cs="Arial"/>
        </w:rPr>
      </w:pPr>
      <w:r>
        <w:rPr>
          <w:rFonts w:ascii="Arial" w:hAnsi="Arial" w:cs="Arial"/>
        </w:rPr>
        <w:t xml:space="preserve">The matter </w:t>
      </w:r>
      <w:r w:rsidR="002446B2">
        <w:rPr>
          <w:rFonts w:ascii="Arial" w:hAnsi="Arial" w:cs="Arial"/>
        </w:rPr>
        <w:t>came before</w:t>
      </w:r>
      <w:r w:rsidR="00776A46">
        <w:rPr>
          <w:rFonts w:ascii="Arial" w:hAnsi="Arial" w:cs="Arial"/>
        </w:rPr>
        <w:t xml:space="preserve"> me </w:t>
      </w:r>
      <w:r w:rsidR="008B4BC5">
        <w:rPr>
          <w:rFonts w:ascii="Arial" w:hAnsi="Arial" w:cs="Arial"/>
        </w:rPr>
        <w:t xml:space="preserve">for the first time </w:t>
      </w:r>
      <w:r w:rsidR="00776A46">
        <w:rPr>
          <w:rFonts w:ascii="Arial" w:hAnsi="Arial" w:cs="Arial"/>
        </w:rPr>
        <w:t>on</w:t>
      </w:r>
      <w:r>
        <w:rPr>
          <w:rFonts w:ascii="Arial" w:hAnsi="Arial" w:cs="Arial"/>
        </w:rPr>
        <w:t xml:space="preserve"> 26 September 2016</w:t>
      </w:r>
      <w:r w:rsidR="00824AF5">
        <w:rPr>
          <w:rFonts w:ascii="Arial" w:hAnsi="Arial" w:cs="Arial"/>
        </w:rPr>
        <w:t xml:space="preserve">. </w:t>
      </w:r>
      <w:r w:rsidR="009E6593" w:rsidRPr="00092BBD">
        <w:rPr>
          <w:rFonts w:ascii="Arial" w:hAnsi="Arial" w:cs="Arial"/>
        </w:rPr>
        <w:t>As the Order of the Cour</w:t>
      </w:r>
      <w:r w:rsidR="001A2494">
        <w:rPr>
          <w:rFonts w:ascii="Arial" w:hAnsi="Arial" w:cs="Arial"/>
        </w:rPr>
        <w:t>t of Appeal directed that this c</w:t>
      </w:r>
      <w:r w:rsidR="009E6593" w:rsidRPr="00092BBD">
        <w:rPr>
          <w:rFonts w:ascii="Arial" w:hAnsi="Arial" w:cs="Arial"/>
        </w:rPr>
        <w:t>ourt he</w:t>
      </w:r>
      <w:r w:rsidR="00287353" w:rsidRPr="00092BBD">
        <w:rPr>
          <w:rFonts w:ascii="Arial" w:hAnsi="Arial" w:cs="Arial"/>
        </w:rPr>
        <w:t xml:space="preserve">ars the matter on </w:t>
      </w:r>
      <w:r w:rsidR="009E6593" w:rsidRPr="00092BBD">
        <w:rPr>
          <w:rFonts w:ascii="Arial" w:hAnsi="Arial" w:cs="Arial"/>
        </w:rPr>
        <w:t xml:space="preserve">submissions only, there was </w:t>
      </w:r>
      <w:r w:rsidR="00287353" w:rsidRPr="00092BBD">
        <w:rPr>
          <w:rFonts w:ascii="Arial" w:hAnsi="Arial" w:cs="Arial"/>
        </w:rPr>
        <w:t xml:space="preserve">effectively </w:t>
      </w:r>
      <w:r w:rsidR="009E6593" w:rsidRPr="00092BBD">
        <w:rPr>
          <w:rFonts w:ascii="Arial" w:hAnsi="Arial" w:cs="Arial"/>
        </w:rPr>
        <w:t>no hearing.</w:t>
      </w:r>
      <w:r w:rsidR="00814BA7" w:rsidRPr="00092BBD">
        <w:rPr>
          <w:rFonts w:ascii="Arial" w:hAnsi="Arial" w:cs="Arial"/>
        </w:rPr>
        <w:t xml:space="preserve"> </w:t>
      </w:r>
      <w:r w:rsidR="009E6593" w:rsidRPr="00092BBD">
        <w:rPr>
          <w:rFonts w:ascii="Arial" w:hAnsi="Arial" w:cs="Arial"/>
        </w:rPr>
        <w:t xml:space="preserve">That being said, </w:t>
      </w:r>
      <w:r w:rsidR="00824AF5" w:rsidRPr="00092BBD">
        <w:rPr>
          <w:rFonts w:ascii="Arial" w:hAnsi="Arial" w:cs="Arial"/>
        </w:rPr>
        <w:t>the Plaintiff (“Arawak Homes”)</w:t>
      </w:r>
      <w:r w:rsidR="004815D7" w:rsidRPr="00092BBD">
        <w:rPr>
          <w:rFonts w:ascii="Arial" w:hAnsi="Arial" w:cs="Arial"/>
        </w:rPr>
        <w:t xml:space="preserve"> </w:t>
      </w:r>
      <w:r w:rsidR="005E6FA3" w:rsidRPr="00092BBD">
        <w:rPr>
          <w:rFonts w:ascii="Arial" w:hAnsi="Arial" w:cs="Arial"/>
        </w:rPr>
        <w:t>took the quantum leap and filed its submissions ahead of th</w:t>
      </w:r>
      <w:r w:rsidR="00824AF5" w:rsidRPr="00092BBD">
        <w:rPr>
          <w:rFonts w:ascii="Arial" w:hAnsi="Arial" w:cs="Arial"/>
        </w:rPr>
        <w:t xml:space="preserve">e hearing </w:t>
      </w:r>
      <w:r w:rsidR="00333325" w:rsidRPr="00092BBD">
        <w:rPr>
          <w:rFonts w:ascii="Arial" w:hAnsi="Arial" w:cs="Arial"/>
        </w:rPr>
        <w:t>date.</w:t>
      </w:r>
      <w:r w:rsidR="005E6FA3" w:rsidRPr="00092BBD">
        <w:rPr>
          <w:rFonts w:ascii="Arial" w:hAnsi="Arial" w:cs="Arial"/>
        </w:rPr>
        <w:t xml:space="preserve"> However, </w:t>
      </w:r>
      <w:r w:rsidR="008B4BC5" w:rsidRPr="00092BBD">
        <w:rPr>
          <w:rFonts w:ascii="Arial" w:hAnsi="Arial" w:cs="Arial"/>
        </w:rPr>
        <w:t xml:space="preserve">learned </w:t>
      </w:r>
      <w:r w:rsidR="00F555FE" w:rsidRPr="00092BBD">
        <w:rPr>
          <w:rFonts w:ascii="Arial" w:hAnsi="Arial" w:cs="Arial"/>
        </w:rPr>
        <w:t xml:space="preserve">Counsel </w:t>
      </w:r>
      <w:r w:rsidR="002446B2" w:rsidRPr="00092BBD">
        <w:rPr>
          <w:rFonts w:ascii="Arial" w:hAnsi="Arial" w:cs="Arial"/>
        </w:rPr>
        <w:t xml:space="preserve">Mr. Martin who appeared for </w:t>
      </w:r>
      <w:r w:rsidR="00824AF5" w:rsidRPr="00092BBD">
        <w:rPr>
          <w:rFonts w:ascii="Arial" w:hAnsi="Arial" w:cs="Arial"/>
        </w:rPr>
        <w:t>the 2</w:t>
      </w:r>
      <w:r w:rsidR="00824AF5" w:rsidRPr="00092BBD">
        <w:rPr>
          <w:rFonts w:ascii="Arial" w:hAnsi="Arial" w:cs="Arial"/>
          <w:vertAlign w:val="superscript"/>
        </w:rPr>
        <w:t>nd</w:t>
      </w:r>
      <w:r w:rsidR="00824AF5" w:rsidRPr="00092BBD">
        <w:rPr>
          <w:rFonts w:ascii="Arial" w:hAnsi="Arial" w:cs="Arial"/>
        </w:rPr>
        <w:t xml:space="preserve"> Defendant </w:t>
      </w:r>
      <w:r w:rsidR="005E6FA3" w:rsidRPr="00092BBD">
        <w:rPr>
          <w:rFonts w:ascii="Arial" w:hAnsi="Arial" w:cs="Arial"/>
        </w:rPr>
        <w:t xml:space="preserve">implored the Court to give him some time to </w:t>
      </w:r>
      <w:r w:rsidR="001A2494">
        <w:rPr>
          <w:rFonts w:ascii="Arial" w:hAnsi="Arial" w:cs="Arial"/>
        </w:rPr>
        <w:t xml:space="preserve">submit written </w:t>
      </w:r>
      <w:r w:rsidR="005E6FA3" w:rsidRPr="00092BBD">
        <w:rPr>
          <w:rFonts w:ascii="Arial" w:hAnsi="Arial" w:cs="Arial"/>
        </w:rPr>
        <w:t xml:space="preserve">submissions since he was recently retained </w:t>
      </w:r>
      <w:r w:rsidR="001A2494">
        <w:rPr>
          <w:rFonts w:ascii="Arial" w:hAnsi="Arial" w:cs="Arial"/>
        </w:rPr>
        <w:t>and there was no order of this c</w:t>
      </w:r>
      <w:r w:rsidR="005E6FA3" w:rsidRPr="00092BBD">
        <w:rPr>
          <w:rFonts w:ascii="Arial" w:hAnsi="Arial" w:cs="Arial"/>
        </w:rPr>
        <w:t xml:space="preserve">ourt for him to do so. </w:t>
      </w:r>
      <w:r w:rsidR="00DB709A" w:rsidRPr="00092BBD">
        <w:rPr>
          <w:rFonts w:ascii="Arial" w:hAnsi="Arial" w:cs="Arial"/>
        </w:rPr>
        <w:t xml:space="preserve">As a </w:t>
      </w:r>
      <w:r w:rsidR="00092BBD">
        <w:rPr>
          <w:rFonts w:ascii="Arial" w:hAnsi="Arial" w:cs="Arial"/>
        </w:rPr>
        <w:t>consequence,</w:t>
      </w:r>
      <w:r w:rsidR="00DB709A" w:rsidRPr="00092BBD">
        <w:rPr>
          <w:rFonts w:ascii="Arial" w:hAnsi="Arial" w:cs="Arial"/>
        </w:rPr>
        <w:t xml:space="preserve"> </w:t>
      </w:r>
      <w:r w:rsidR="002446B2" w:rsidRPr="00092BBD">
        <w:rPr>
          <w:rFonts w:ascii="Arial" w:hAnsi="Arial" w:cs="Arial"/>
        </w:rPr>
        <w:t xml:space="preserve">I gave directions for </w:t>
      </w:r>
      <w:r w:rsidR="00824AF5" w:rsidRPr="00092BBD">
        <w:rPr>
          <w:rFonts w:ascii="Arial" w:hAnsi="Arial" w:cs="Arial"/>
        </w:rPr>
        <w:t>the 2</w:t>
      </w:r>
      <w:r w:rsidR="00824AF5" w:rsidRPr="00092BBD">
        <w:rPr>
          <w:rFonts w:ascii="Arial" w:hAnsi="Arial" w:cs="Arial"/>
          <w:vertAlign w:val="superscript"/>
        </w:rPr>
        <w:t>nd</w:t>
      </w:r>
      <w:r w:rsidR="00824AF5" w:rsidRPr="00092BBD">
        <w:rPr>
          <w:rFonts w:ascii="Arial" w:hAnsi="Arial" w:cs="Arial"/>
        </w:rPr>
        <w:t xml:space="preserve"> Defendant</w:t>
      </w:r>
      <w:r w:rsidR="00E93C60" w:rsidRPr="00092BBD">
        <w:rPr>
          <w:rFonts w:ascii="Arial" w:hAnsi="Arial" w:cs="Arial"/>
        </w:rPr>
        <w:t xml:space="preserve"> </w:t>
      </w:r>
      <w:r w:rsidR="002446B2" w:rsidRPr="00092BBD">
        <w:rPr>
          <w:rFonts w:ascii="Arial" w:hAnsi="Arial" w:cs="Arial"/>
        </w:rPr>
        <w:t xml:space="preserve">to file </w:t>
      </w:r>
      <w:r w:rsidR="005E6FA3" w:rsidRPr="00092BBD">
        <w:rPr>
          <w:rFonts w:ascii="Arial" w:hAnsi="Arial" w:cs="Arial"/>
        </w:rPr>
        <w:t xml:space="preserve">and serve </w:t>
      </w:r>
      <w:r w:rsidR="002446B2" w:rsidRPr="00092BBD">
        <w:rPr>
          <w:rFonts w:ascii="Arial" w:hAnsi="Arial" w:cs="Arial"/>
        </w:rPr>
        <w:t>h</w:t>
      </w:r>
      <w:r w:rsidR="00F878D9" w:rsidRPr="00092BBD">
        <w:rPr>
          <w:rFonts w:ascii="Arial" w:hAnsi="Arial" w:cs="Arial"/>
        </w:rPr>
        <w:t>er</w:t>
      </w:r>
      <w:r w:rsidR="002446B2" w:rsidRPr="00092BBD">
        <w:rPr>
          <w:rFonts w:ascii="Arial" w:hAnsi="Arial" w:cs="Arial"/>
        </w:rPr>
        <w:t xml:space="preserve"> submissions by 31 October 2016. </w:t>
      </w:r>
      <w:r w:rsidR="00824AF5" w:rsidRPr="00092BBD">
        <w:rPr>
          <w:rFonts w:ascii="Arial" w:hAnsi="Arial" w:cs="Arial"/>
        </w:rPr>
        <w:t xml:space="preserve">Arawak Homes </w:t>
      </w:r>
      <w:r w:rsidR="002446B2" w:rsidRPr="00092BBD">
        <w:rPr>
          <w:rFonts w:ascii="Arial" w:hAnsi="Arial" w:cs="Arial"/>
        </w:rPr>
        <w:t>responded to these submissions on 21 November 2016.</w:t>
      </w:r>
      <w:r w:rsidR="001A2494">
        <w:rPr>
          <w:rFonts w:ascii="Arial" w:hAnsi="Arial" w:cs="Arial"/>
        </w:rPr>
        <w:t xml:space="preserve"> The c</w:t>
      </w:r>
      <w:r w:rsidR="00092BBD">
        <w:rPr>
          <w:rFonts w:ascii="Arial" w:hAnsi="Arial" w:cs="Arial"/>
        </w:rPr>
        <w:t xml:space="preserve">ourt </w:t>
      </w:r>
      <w:r w:rsidR="001A2494">
        <w:rPr>
          <w:rFonts w:ascii="Arial" w:hAnsi="Arial" w:cs="Arial"/>
        </w:rPr>
        <w:t xml:space="preserve">sincerely </w:t>
      </w:r>
      <w:r w:rsidR="00092BBD">
        <w:rPr>
          <w:rFonts w:ascii="Arial" w:hAnsi="Arial" w:cs="Arial"/>
        </w:rPr>
        <w:t>apologizes for the protracted delay in the delivery of this judgment.</w:t>
      </w:r>
      <w:r w:rsidR="002446B2" w:rsidRPr="00092BBD">
        <w:rPr>
          <w:rFonts w:ascii="Arial" w:hAnsi="Arial" w:cs="Arial"/>
        </w:rPr>
        <w:t xml:space="preserve"> </w:t>
      </w:r>
    </w:p>
    <w:p w:rsidR="00425FE4" w:rsidRPr="00425FE4" w:rsidRDefault="00E65246" w:rsidP="00425FE4">
      <w:pPr>
        <w:spacing w:line="360" w:lineRule="auto"/>
        <w:jc w:val="both"/>
        <w:rPr>
          <w:rFonts w:ascii="Arial" w:hAnsi="Arial" w:cs="Arial"/>
          <w:b/>
        </w:rPr>
      </w:pPr>
      <w:r>
        <w:rPr>
          <w:rFonts w:ascii="Arial" w:hAnsi="Arial" w:cs="Arial"/>
          <w:b/>
        </w:rPr>
        <w:lastRenderedPageBreak/>
        <w:t>Action No. 510 of 1985</w:t>
      </w:r>
    </w:p>
    <w:p w:rsidR="00D01562" w:rsidRDefault="00D01562" w:rsidP="00D01562">
      <w:pPr>
        <w:pStyle w:val="ListParagraph"/>
        <w:numPr>
          <w:ilvl w:val="0"/>
          <w:numId w:val="2"/>
        </w:numPr>
        <w:spacing w:line="360" w:lineRule="auto"/>
        <w:jc w:val="both"/>
        <w:rPr>
          <w:rFonts w:ascii="Arial" w:hAnsi="Arial" w:cs="Arial"/>
        </w:rPr>
      </w:pPr>
      <w:r>
        <w:rPr>
          <w:rFonts w:ascii="Arial" w:hAnsi="Arial" w:cs="Arial"/>
        </w:rPr>
        <w:t xml:space="preserve">On 29 May 1985, Arawak Homes instituted </w:t>
      </w:r>
      <w:r w:rsidR="007B72A3">
        <w:rPr>
          <w:rFonts w:ascii="Arial" w:hAnsi="Arial" w:cs="Arial"/>
        </w:rPr>
        <w:t>Action No. 510 of 1985 (“</w:t>
      </w:r>
      <w:r>
        <w:rPr>
          <w:rFonts w:ascii="Arial" w:hAnsi="Arial" w:cs="Arial"/>
        </w:rPr>
        <w:t>the present action</w:t>
      </w:r>
      <w:r w:rsidR="007B72A3">
        <w:rPr>
          <w:rFonts w:ascii="Arial" w:hAnsi="Arial" w:cs="Arial"/>
        </w:rPr>
        <w:t>”)</w:t>
      </w:r>
      <w:r>
        <w:rPr>
          <w:rFonts w:ascii="Arial" w:hAnsi="Arial" w:cs="Arial"/>
        </w:rPr>
        <w:t xml:space="preserve"> </w:t>
      </w:r>
      <w:r w:rsidR="007C5E32" w:rsidRPr="0034425C">
        <w:rPr>
          <w:rFonts w:ascii="Arial" w:hAnsi="Arial" w:cs="Arial"/>
        </w:rPr>
        <w:t xml:space="preserve">against </w:t>
      </w:r>
      <w:r w:rsidR="00250222" w:rsidRPr="0034425C">
        <w:rPr>
          <w:rFonts w:ascii="Arial" w:hAnsi="Arial" w:cs="Arial"/>
        </w:rPr>
        <w:t>the 1</w:t>
      </w:r>
      <w:r w:rsidR="00250222" w:rsidRPr="0034425C">
        <w:rPr>
          <w:rFonts w:ascii="Arial" w:hAnsi="Arial" w:cs="Arial"/>
          <w:vertAlign w:val="superscript"/>
        </w:rPr>
        <w:t>st</w:t>
      </w:r>
      <w:r w:rsidR="00250222" w:rsidRPr="0034425C">
        <w:rPr>
          <w:rFonts w:ascii="Arial" w:hAnsi="Arial" w:cs="Arial"/>
        </w:rPr>
        <w:t xml:space="preserve"> Defendant</w:t>
      </w:r>
      <w:r w:rsidR="00E5578E">
        <w:rPr>
          <w:rFonts w:ascii="Arial" w:hAnsi="Arial" w:cs="Arial"/>
        </w:rPr>
        <w:t>, (“Thaddeus Johnson”), the 2</w:t>
      </w:r>
      <w:r w:rsidR="00E5578E" w:rsidRPr="00E5578E">
        <w:rPr>
          <w:rFonts w:ascii="Arial" w:hAnsi="Arial" w:cs="Arial"/>
          <w:vertAlign w:val="superscript"/>
        </w:rPr>
        <w:t>nd</w:t>
      </w:r>
      <w:r w:rsidR="00E5578E">
        <w:rPr>
          <w:rFonts w:ascii="Arial" w:hAnsi="Arial" w:cs="Arial"/>
        </w:rPr>
        <w:t xml:space="preserve"> Defendant </w:t>
      </w:r>
      <w:r w:rsidR="00603ABA">
        <w:rPr>
          <w:rFonts w:ascii="Arial" w:hAnsi="Arial" w:cs="Arial"/>
        </w:rPr>
        <w:t>(“</w:t>
      </w:r>
      <w:proofErr w:type="spellStart"/>
      <w:r w:rsidR="00603ABA">
        <w:rPr>
          <w:rFonts w:ascii="Arial" w:hAnsi="Arial" w:cs="Arial"/>
        </w:rPr>
        <w:t>Eleazer</w:t>
      </w:r>
      <w:proofErr w:type="spellEnd"/>
      <w:r w:rsidR="00603ABA">
        <w:rPr>
          <w:rFonts w:ascii="Arial" w:hAnsi="Arial" w:cs="Arial"/>
        </w:rPr>
        <w:t xml:space="preserve"> Ferguson</w:t>
      </w:r>
      <w:r w:rsidR="00250222" w:rsidRPr="0034425C">
        <w:rPr>
          <w:rFonts w:ascii="Arial" w:hAnsi="Arial" w:cs="Arial"/>
        </w:rPr>
        <w:t xml:space="preserve">”) </w:t>
      </w:r>
      <w:r w:rsidR="007C5E32" w:rsidRPr="0034425C">
        <w:rPr>
          <w:rFonts w:ascii="Arial" w:hAnsi="Arial" w:cs="Arial"/>
        </w:rPr>
        <w:t xml:space="preserve">and </w:t>
      </w:r>
      <w:r w:rsidR="00603ABA">
        <w:rPr>
          <w:rFonts w:ascii="Arial" w:hAnsi="Arial" w:cs="Arial"/>
        </w:rPr>
        <w:t>the 3</w:t>
      </w:r>
      <w:r w:rsidR="00603ABA" w:rsidRPr="00603ABA">
        <w:rPr>
          <w:rFonts w:ascii="Arial" w:hAnsi="Arial" w:cs="Arial"/>
          <w:vertAlign w:val="superscript"/>
        </w:rPr>
        <w:t>rd</w:t>
      </w:r>
      <w:r w:rsidR="00603ABA">
        <w:rPr>
          <w:rFonts w:ascii="Arial" w:hAnsi="Arial" w:cs="Arial"/>
        </w:rPr>
        <w:t xml:space="preserve"> Defendant, </w:t>
      </w:r>
      <w:r w:rsidR="007C5E32" w:rsidRPr="0034425C">
        <w:rPr>
          <w:rFonts w:ascii="Arial" w:hAnsi="Arial" w:cs="Arial"/>
        </w:rPr>
        <w:t xml:space="preserve">C. B. Bahamas Limited </w:t>
      </w:r>
      <w:r w:rsidR="002B5ACC">
        <w:rPr>
          <w:rFonts w:ascii="Arial" w:hAnsi="Arial" w:cs="Arial"/>
        </w:rPr>
        <w:t>(“</w:t>
      </w:r>
      <w:r w:rsidR="00603ABA">
        <w:rPr>
          <w:rFonts w:ascii="Arial" w:hAnsi="Arial" w:cs="Arial"/>
        </w:rPr>
        <w:t>CB”)</w:t>
      </w:r>
      <w:r w:rsidR="00250222" w:rsidRPr="0034425C">
        <w:rPr>
          <w:rFonts w:ascii="Arial" w:hAnsi="Arial" w:cs="Arial"/>
        </w:rPr>
        <w:t xml:space="preserve"> </w:t>
      </w:r>
      <w:r w:rsidR="007C5E32" w:rsidRPr="0034425C">
        <w:rPr>
          <w:rFonts w:ascii="Arial" w:hAnsi="Arial" w:cs="Arial"/>
        </w:rPr>
        <w:t>seeking</w:t>
      </w:r>
      <w:r w:rsidR="002B5ACC">
        <w:rPr>
          <w:rFonts w:ascii="Arial" w:hAnsi="Arial" w:cs="Arial"/>
        </w:rPr>
        <w:t xml:space="preserve"> the following:</w:t>
      </w:r>
    </w:p>
    <w:p w:rsidR="00D01562" w:rsidRDefault="00D01562" w:rsidP="00D01562">
      <w:pPr>
        <w:pStyle w:val="ListParagraph"/>
        <w:widowControl w:val="0"/>
        <w:numPr>
          <w:ilvl w:val="1"/>
          <w:numId w:val="2"/>
        </w:numPr>
        <w:autoSpaceDE w:val="0"/>
        <w:autoSpaceDN w:val="0"/>
        <w:jc w:val="both"/>
        <w:rPr>
          <w:rFonts w:ascii="Arial" w:hAnsi="Arial" w:cs="Arial"/>
          <w:lang w:val="en-GB"/>
        </w:rPr>
      </w:pPr>
      <w:r w:rsidRPr="00EC10A8">
        <w:rPr>
          <w:rFonts w:ascii="Arial" w:hAnsi="Arial" w:cs="Arial"/>
          <w:lang w:val="en-GB"/>
        </w:rPr>
        <w:t>A Declaration that the Certificate of Title granted on 28</w:t>
      </w:r>
      <w:r w:rsidRPr="00EC10A8">
        <w:rPr>
          <w:rFonts w:ascii="Arial" w:hAnsi="Arial" w:cs="Arial"/>
          <w:vertAlign w:val="superscript"/>
          <w:lang w:val="en-GB"/>
        </w:rPr>
        <w:t>th</w:t>
      </w:r>
      <w:r w:rsidRPr="00EC10A8">
        <w:rPr>
          <w:rFonts w:ascii="Arial" w:hAnsi="Arial" w:cs="Arial"/>
          <w:lang w:val="en-GB"/>
        </w:rPr>
        <w:t xml:space="preserve"> January 1985 by the Supreme Court to </w:t>
      </w:r>
      <w:r>
        <w:rPr>
          <w:rFonts w:ascii="Arial" w:hAnsi="Arial" w:cs="Arial"/>
          <w:lang w:val="en-GB"/>
        </w:rPr>
        <w:t>Thaddeus Johnson</w:t>
      </w:r>
      <w:r w:rsidRPr="00EC10A8">
        <w:rPr>
          <w:rFonts w:ascii="Arial" w:hAnsi="Arial" w:cs="Arial"/>
          <w:lang w:val="en-GB"/>
        </w:rPr>
        <w:t xml:space="preserve"> in Action No. 10 of 1982 with respect to Blocks 87, 88, 92, 93, 95, 98, 99, 100-107 inclusive, 120-128 inclusive, 137, 139, 140-144 inclusive, 155-163 inclusive as identified on a 1926 plan of the Nassau Village Subdivision is null and void and of no effect.</w:t>
      </w:r>
    </w:p>
    <w:p w:rsidR="00D01562" w:rsidRPr="00EC10A8" w:rsidRDefault="00D01562" w:rsidP="00D01562">
      <w:pPr>
        <w:widowControl w:val="0"/>
        <w:autoSpaceDE w:val="0"/>
        <w:autoSpaceDN w:val="0"/>
        <w:jc w:val="both"/>
        <w:rPr>
          <w:rFonts w:ascii="Arial" w:hAnsi="Arial" w:cs="Arial"/>
          <w:lang w:val="en-GB"/>
        </w:rPr>
      </w:pPr>
    </w:p>
    <w:p w:rsidR="00D01562" w:rsidRPr="00D01562" w:rsidRDefault="00D01562" w:rsidP="00D01562">
      <w:pPr>
        <w:pStyle w:val="ListParagraph"/>
        <w:widowControl w:val="0"/>
        <w:numPr>
          <w:ilvl w:val="1"/>
          <w:numId w:val="2"/>
        </w:numPr>
        <w:autoSpaceDE w:val="0"/>
        <w:autoSpaceDN w:val="0"/>
        <w:jc w:val="both"/>
        <w:rPr>
          <w:rFonts w:ascii="Arial" w:hAnsi="Arial" w:cs="Arial"/>
          <w:lang w:val="en-GB"/>
        </w:rPr>
      </w:pPr>
      <w:r w:rsidRPr="00D01562">
        <w:rPr>
          <w:rFonts w:ascii="Arial" w:hAnsi="Arial" w:cs="Arial"/>
          <w:b/>
          <w:lang w:val="en-GB"/>
        </w:rPr>
        <w:t xml:space="preserve">A Declaration that the Certificate of Title granted to </w:t>
      </w:r>
      <w:proofErr w:type="spellStart"/>
      <w:r w:rsidRPr="00D01562">
        <w:rPr>
          <w:rFonts w:ascii="Arial" w:hAnsi="Arial" w:cs="Arial"/>
          <w:b/>
          <w:lang w:val="en-GB"/>
        </w:rPr>
        <w:t>Eleazer</w:t>
      </w:r>
      <w:proofErr w:type="spellEnd"/>
      <w:r w:rsidRPr="00D01562">
        <w:rPr>
          <w:rFonts w:ascii="Arial" w:hAnsi="Arial" w:cs="Arial"/>
          <w:b/>
          <w:lang w:val="en-GB"/>
        </w:rPr>
        <w:t xml:space="preserve"> Ferguson on 28</w:t>
      </w:r>
      <w:r w:rsidRPr="00D01562">
        <w:rPr>
          <w:rFonts w:ascii="Arial" w:hAnsi="Arial" w:cs="Arial"/>
          <w:b/>
          <w:vertAlign w:val="superscript"/>
          <w:lang w:val="en-GB"/>
        </w:rPr>
        <w:t>th</w:t>
      </w:r>
      <w:r w:rsidRPr="00D01562">
        <w:rPr>
          <w:rFonts w:ascii="Arial" w:hAnsi="Arial" w:cs="Arial"/>
          <w:b/>
          <w:lang w:val="en-GB"/>
        </w:rPr>
        <w:t xml:space="preserve"> January 1985 by the Supreme Court in the same action with respect to Blocks 89, 9</w:t>
      </w:r>
      <w:r w:rsidR="00A05C6A">
        <w:rPr>
          <w:rFonts w:ascii="Arial" w:hAnsi="Arial" w:cs="Arial"/>
          <w:b/>
          <w:lang w:val="en-GB"/>
        </w:rPr>
        <w:t>0, 91, 94, 127, 135, 136, and 16</w:t>
      </w:r>
      <w:r w:rsidRPr="00D01562">
        <w:rPr>
          <w:rFonts w:ascii="Arial" w:hAnsi="Arial" w:cs="Arial"/>
          <w:b/>
          <w:lang w:val="en-GB"/>
        </w:rPr>
        <w:t xml:space="preserve">4  as identified on the 1926 plan aforesaid is null and void and of no effect </w:t>
      </w:r>
      <w:r>
        <w:rPr>
          <w:rFonts w:ascii="Arial" w:hAnsi="Arial" w:cs="Arial"/>
          <w:lang w:val="en-GB"/>
        </w:rPr>
        <w:t xml:space="preserve">[emphasis added] </w:t>
      </w:r>
      <w:r w:rsidRPr="00D01562">
        <w:rPr>
          <w:rFonts w:ascii="Arial" w:hAnsi="Arial" w:cs="Arial"/>
          <w:lang w:val="en-GB"/>
        </w:rPr>
        <w:t>and</w:t>
      </w:r>
    </w:p>
    <w:p w:rsidR="00D01562" w:rsidRPr="002B5ACC" w:rsidRDefault="00D01562" w:rsidP="00D01562">
      <w:pPr>
        <w:pStyle w:val="ListParagraph"/>
        <w:jc w:val="both"/>
        <w:rPr>
          <w:rFonts w:ascii="Arial" w:hAnsi="Arial" w:cs="Arial"/>
          <w:lang w:val="en-GB"/>
        </w:rPr>
      </w:pPr>
    </w:p>
    <w:p w:rsidR="00D01562" w:rsidRDefault="00D01562" w:rsidP="00D01562">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 xml:space="preserve">A Declaration that the purported conveyance by Thaddeus Johnson to CB dated 29 January 1985 of Blocks 155, 156 and 157 contained in the Certificate of Title granted to Thaddeus Johnson is null and void and of no effect.  </w:t>
      </w:r>
    </w:p>
    <w:p w:rsidR="00D01562" w:rsidRDefault="00D01562" w:rsidP="00D01562">
      <w:pPr>
        <w:pStyle w:val="ListParagraph"/>
        <w:rPr>
          <w:rFonts w:ascii="Arial" w:hAnsi="Arial" w:cs="Arial"/>
        </w:rPr>
      </w:pPr>
    </w:p>
    <w:p w:rsidR="009A2F8C" w:rsidRPr="005A1B8F" w:rsidRDefault="00FF210F" w:rsidP="005A1B8F">
      <w:pPr>
        <w:pStyle w:val="ListParagraph"/>
        <w:numPr>
          <w:ilvl w:val="0"/>
          <w:numId w:val="2"/>
        </w:numPr>
        <w:spacing w:line="360" w:lineRule="auto"/>
        <w:jc w:val="both"/>
        <w:rPr>
          <w:rFonts w:ascii="Arial" w:hAnsi="Arial" w:cs="Arial"/>
        </w:rPr>
      </w:pPr>
      <w:r>
        <w:rPr>
          <w:rFonts w:ascii="Arial" w:hAnsi="Arial" w:cs="Arial"/>
        </w:rPr>
        <w:t>The d</w:t>
      </w:r>
      <w:r w:rsidR="00D01562" w:rsidRPr="00FF210F">
        <w:rPr>
          <w:rFonts w:ascii="Arial" w:hAnsi="Arial" w:cs="Arial"/>
        </w:rPr>
        <w:t>eclarations sought in (</w:t>
      </w:r>
      <w:proofErr w:type="spellStart"/>
      <w:r w:rsidR="00D01562" w:rsidRPr="00FF210F">
        <w:rPr>
          <w:rFonts w:ascii="Arial" w:hAnsi="Arial" w:cs="Arial"/>
        </w:rPr>
        <w:t>i</w:t>
      </w:r>
      <w:proofErr w:type="spellEnd"/>
      <w:r w:rsidR="00D01562" w:rsidRPr="00FF210F">
        <w:rPr>
          <w:rFonts w:ascii="Arial" w:hAnsi="Arial" w:cs="Arial"/>
        </w:rPr>
        <w:t>) and (iii) have already been adjudicated upon by previous judges of the Supreme Court and the Court of Appeal</w:t>
      </w:r>
      <w:r>
        <w:rPr>
          <w:rFonts w:ascii="Arial" w:hAnsi="Arial" w:cs="Arial"/>
        </w:rPr>
        <w:t>. On 17</w:t>
      </w:r>
      <w:r w:rsidR="00E44D03" w:rsidRPr="00FF210F">
        <w:rPr>
          <w:rFonts w:ascii="Arial" w:hAnsi="Arial" w:cs="Arial"/>
        </w:rPr>
        <w:t xml:space="preserve"> May 2012, </w:t>
      </w:r>
      <w:proofErr w:type="spellStart"/>
      <w:r w:rsidR="003D692E">
        <w:rPr>
          <w:rFonts w:ascii="Arial" w:hAnsi="Arial" w:cs="Arial"/>
        </w:rPr>
        <w:t>Adderley</w:t>
      </w:r>
      <w:proofErr w:type="spellEnd"/>
      <w:r w:rsidR="003D692E">
        <w:rPr>
          <w:rFonts w:ascii="Arial" w:hAnsi="Arial" w:cs="Arial"/>
        </w:rPr>
        <w:t xml:space="preserve"> J (as he then was)</w:t>
      </w:r>
      <w:r w:rsidR="00E44D03" w:rsidRPr="00FF210F">
        <w:rPr>
          <w:rFonts w:ascii="Arial" w:hAnsi="Arial" w:cs="Arial"/>
        </w:rPr>
        <w:t xml:space="preserve"> set asi</w:t>
      </w:r>
      <w:r w:rsidR="003D692E">
        <w:rPr>
          <w:rFonts w:ascii="Arial" w:hAnsi="Arial" w:cs="Arial"/>
        </w:rPr>
        <w:t>de the certificate of t</w:t>
      </w:r>
      <w:r w:rsidR="00E44D03" w:rsidRPr="00FF210F">
        <w:rPr>
          <w:rFonts w:ascii="Arial" w:hAnsi="Arial" w:cs="Arial"/>
        </w:rPr>
        <w:t xml:space="preserve">itle </w:t>
      </w:r>
      <w:r>
        <w:rPr>
          <w:rFonts w:ascii="Arial" w:hAnsi="Arial" w:cs="Arial"/>
        </w:rPr>
        <w:t xml:space="preserve">which was </w:t>
      </w:r>
      <w:r w:rsidR="00E44D03" w:rsidRPr="00FF210F">
        <w:rPr>
          <w:rFonts w:ascii="Arial" w:hAnsi="Arial" w:cs="Arial"/>
        </w:rPr>
        <w:t>granted to Thaddeus Johnson</w:t>
      </w:r>
      <w:r>
        <w:rPr>
          <w:rFonts w:ascii="Arial" w:hAnsi="Arial" w:cs="Arial"/>
        </w:rPr>
        <w:t xml:space="preserve"> on 28 January 1985</w:t>
      </w:r>
      <w:r w:rsidR="00A71A3D">
        <w:rPr>
          <w:rFonts w:ascii="Arial" w:hAnsi="Arial" w:cs="Arial"/>
        </w:rPr>
        <w:t>,</w:t>
      </w:r>
      <w:r w:rsidR="00511257">
        <w:rPr>
          <w:rFonts w:ascii="Arial" w:hAnsi="Arial" w:cs="Arial"/>
        </w:rPr>
        <w:t xml:space="preserve"> and</w:t>
      </w:r>
      <w:r w:rsidR="00A71A3D">
        <w:rPr>
          <w:rFonts w:ascii="Arial" w:hAnsi="Arial" w:cs="Arial"/>
        </w:rPr>
        <w:t>,</w:t>
      </w:r>
      <w:r w:rsidR="00511257">
        <w:rPr>
          <w:rFonts w:ascii="Arial" w:hAnsi="Arial" w:cs="Arial"/>
        </w:rPr>
        <w:t xml:space="preserve"> on</w:t>
      </w:r>
      <w:r w:rsidR="00DA3B81">
        <w:rPr>
          <w:rFonts w:ascii="Arial" w:hAnsi="Arial" w:cs="Arial"/>
        </w:rPr>
        <w:t xml:space="preserve"> 11 April 1986, </w:t>
      </w:r>
      <w:proofErr w:type="spellStart"/>
      <w:r w:rsidR="00DA3B81">
        <w:rPr>
          <w:rFonts w:ascii="Arial" w:hAnsi="Arial" w:cs="Arial"/>
        </w:rPr>
        <w:t>Gonsalves-Sabola</w:t>
      </w:r>
      <w:proofErr w:type="spellEnd"/>
      <w:r w:rsidR="00DA3B81">
        <w:rPr>
          <w:rFonts w:ascii="Arial" w:hAnsi="Arial" w:cs="Arial"/>
        </w:rPr>
        <w:t xml:space="preserve"> J (as he then was) found that CB was not a </w:t>
      </w:r>
      <w:r w:rsidR="00DA3B81" w:rsidRPr="00DA3B81">
        <w:rPr>
          <w:rFonts w:ascii="Arial" w:hAnsi="Arial" w:cs="Arial"/>
          <w:i/>
        </w:rPr>
        <w:t>bona fide</w:t>
      </w:r>
      <w:r w:rsidR="00DA3B81">
        <w:rPr>
          <w:rFonts w:ascii="Arial" w:hAnsi="Arial" w:cs="Arial"/>
        </w:rPr>
        <w:t xml:space="preserve"> purchaser for value without notice of Blocks 155</w:t>
      </w:r>
      <w:r w:rsidR="00511257">
        <w:rPr>
          <w:rFonts w:ascii="Arial" w:hAnsi="Arial" w:cs="Arial"/>
        </w:rPr>
        <w:t>, 156 and 157 contained in the certificate of t</w:t>
      </w:r>
      <w:r w:rsidR="00DA3B81">
        <w:rPr>
          <w:rFonts w:ascii="Arial" w:hAnsi="Arial" w:cs="Arial"/>
        </w:rPr>
        <w:t xml:space="preserve">itle to Thaddeus Johnson. CB appealed the decision of </w:t>
      </w:r>
      <w:proofErr w:type="spellStart"/>
      <w:r w:rsidR="00DA3B81">
        <w:rPr>
          <w:rFonts w:ascii="Arial" w:hAnsi="Arial" w:cs="Arial"/>
        </w:rPr>
        <w:t>Gonsalves-Sabola</w:t>
      </w:r>
      <w:proofErr w:type="spellEnd"/>
      <w:r w:rsidR="00DA3B81">
        <w:rPr>
          <w:rFonts w:ascii="Arial" w:hAnsi="Arial" w:cs="Arial"/>
        </w:rPr>
        <w:t xml:space="preserve"> J. The Court of Appeal unanimously dismissed the appeal and confirmed the finding</w:t>
      </w:r>
      <w:r w:rsidR="00511257">
        <w:rPr>
          <w:rFonts w:ascii="Arial" w:hAnsi="Arial" w:cs="Arial"/>
        </w:rPr>
        <w:t xml:space="preserve"> of the Supreme Court that the certificate of t</w:t>
      </w:r>
      <w:r w:rsidR="00DA3B81">
        <w:rPr>
          <w:rFonts w:ascii="Arial" w:hAnsi="Arial" w:cs="Arial"/>
        </w:rPr>
        <w:t xml:space="preserve">itle obtained by Thaddeus Johnson was </w:t>
      </w:r>
      <w:r w:rsidR="00DA3B81" w:rsidRPr="005A1B8F">
        <w:rPr>
          <w:rFonts w:ascii="Arial" w:hAnsi="Arial" w:cs="Arial"/>
        </w:rPr>
        <w:t>fraudulent</w:t>
      </w:r>
      <w:r w:rsidR="00511257" w:rsidRPr="005A1B8F">
        <w:rPr>
          <w:rFonts w:ascii="Arial" w:hAnsi="Arial" w:cs="Arial"/>
        </w:rPr>
        <w:t>ly</w:t>
      </w:r>
      <w:r w:rsidR="00DA3B81" w:rsidRPr="005A1B8F">
        <w:rPr>
          <w:rFonts w:ascii="Arial" w:hAnsi="Arial" w:cs="Arial"/>
        </w:rPr>
        <w:t xml:space="preserve"> procured. Melville JA found that “the evidence of fraud was overwhelming”.  </w:t>
      </w:r>
    </w:p>
    <w:p w:rsidR="00511257" w:rsidRPr="00511257" w:rsidRDefault="00511257" w:rsidP="00B77B30">
      <w:pPr>
        <w:pStyle w:val="ListParagraph"/>
        <w:jc w:val="both"/>
        <w:rPr>
          <w:rFonts w:ascii="Arial" w:hAnsi="Arial" w:cs="Arial"/>
        </w:rPr>
      </w:pPr>
    </w:p>
    <w:p w:rsidR="00D62029" w:rsidRPr="00D4731C" w:rsidRDefault="007B72A3" w:rsidP="00D62029">
      <w:pPr>
        <w:pStyle w:val="ListParagraph"/>
        <w:numPr>
          <w:ilvl w:val="0"/>
          <w:numId w:val="2"/>
        </w:numPr>
        <w:spacing w:line="360" w:lineRule="auto"/>
        <w:jc w:val="both"/>
        <w:rPr>
          <w:rFonts w:ascii="Arial" w:hAnsi="Arial" w:cs="Arial"/>
        </w:rPr>
      </w:pPr>
      <w:r>
        <w:rPr>
          <w:rFonts w:ascii="Arial" w:hAnsi="Arial" w:cs="Arial"/>
        </w:rPr>
        <w:t xml:space="preserve">As it now stands, </w:t>
      </w:r>
      <w:r w:rsidR="00D62029">
        <w:rPr>
          <w:rFonts w:ascii="Arial" w:hAnsi="Arial" w:cs="Arial"/>
        </w:rPr>
        <w:t xml:space="preserve">the </w:t>
      </w:r>
      <w:r>
        <w:rPr>
          <w:rFonts w:ascii="Arial" w:hAnsi="Arial" w:cs="Arial"/>
        </w:rPr>
        <w:t>sole</w:t>
      </w:r>
      <w:r w:rsidR="00D62029">
        <w:rPr>
          <w:rFonts w:ascii="Arial" w:hAnsi="Arial" w:cs="Arial"/>
        </w:rPr>
        <w:t xml:space="preserve"> </w:t>
      </w:r>
      <w:r>
        <w:rPr>
          <w:rFonts w:ascii="Arial" w:hAnsi="Arial" w:cs="Arial"/>
        </w:rPr>
        <w:t xml:space="preserve">remaining </w:t>
      </w:r>
      <w:r w:rsidR="00D62029">
        <w:rPr>
          <w:rFonts w:ascii="Arial" w:hAnsi="Arial" w:cs="Arial"/>
        </w:rPr>
        <w:t xml:space="preserve">issue to be determined by this court is whether the certificate of title </w:t>
      </w:r>
      <w:r w:rsidR="00A71A3D">
        <w:rPr>
          <w:rFonts w:ascii="Arial" w:hAnsi="Arial" w:cs="Arial"/>
          <w:lang w:val="en-GB"/>
        </w:rPr>
        <w:t xml:space="preserve">granted to </w:t>
      </w:r>
      <w:proofErr w:type="spellStart"/>
      <w:r w:rsidR="00A71A3D">
        <w:rPr>
          <w:rFonts w:ascii="Arial" w:hAnsi="Arial" w:cs="Arial"/>
          <w:lang w:val="en-GB"/>
        </w:rPr>
        <w:t>Eleazo</w:t>
      </w:r>
      <w:r w:rsidR="00511257" w:rsidRPr="00D62029">
        <w:rPr>
          <w:rFonts w:ascii="Arial" w:hAnsi="Arial" w:cs="Arial"/>
          <w:lang w:val="en-GB"/>
        </w:rPr>
        <w:t>r</w:t>
      </w:r>
      <w:proofErr w:type="spellEnd"/>
      <w:r w:rsidR="00511257" w:rsidRPr="00D62029">
        <w:rPr>
          <w:rFonts w:ascii="Arial" w:hAnsi="Arial" w:cs="Arial"/>
          <w:lang w:val="en-GB"/>
        </w:rPr>
        <w:t xml:space="preserve"> Ferguson on 28 January 1985 </w:t>
      </w:r>
      <w:r w:rsidR="00511257" w:rsidRPr="00D62029">
        <w:rPr>
          <w:rFonts w:ascii="Arial" w:hAnsi="Arial" w:cs="Arial"/>
          <w:lang w:val="en-GB"/>
        </w:rPr>
        <w:lastRenderedPageBreak/>
        <w:t>with respect to Blocks 89, 9</w:t>
      </w:r>
      <w:r w:rsidR="00850615">
        <w:rPr>
          <w:rFonts w:ascii="Arial" w:hAnsi="Arial" w:cs="Arial"/>
          <w:lang w:val="en-GB"/>
        </w:rPr>
        <w:t>0, 91, 94, 127, 135, 136, and 16</w:t>
      </w:r>
      <w:r w:rsidR="00511257" w:rsidRPr="00D62029">
        <w:rPr>
          <w:rFonts w:ascii="Arial" w:hAnsi="Arial" w:cs="Arial"/>
          <w:lang w:val="en-GB"/>
        </w:rPr>
        <w:t>4</w:t>
      </w:r>
      <w:r>
        <w:rPr>
          <w:rFonts w:ascii="Arial" w:hAnsi="Arial" w:cs="Arial"/>
          <w:lang w:val="en-GB"/>
        </w:rPr>
        <w:t xml:space="preserve"> as identified on the 1926 plan</w:t>
      </w:r>
      <w:r w:rsidR="00511257" w:rsidRPr="00D62029">
        <w:rPr>
          <w:rFonts w:ascii="Arial" w:hAnsi="Arial" w:cs="Arial"/>
          <w:lang w:val="en-GB"/>
        </w:rPr>
        <w:t xml:space="preserve"> </w:t>
      </w:r>
      <w:r w:rsidRPr="00EC10A8">
        <w:rPr>
          <w:rFonts w:ascii="Arial" w:hAnsi="Arial" w:cs="Arial"/>
          <w:lang w:val="en-GB"/>
        </w:rPr>
        <w:t>of the Nassau Village Subdivision</w:t>
      </w:r>
      <w:r w:rsidR="00511257" w:rsidRPr="00D62029">
        <w:rPr>
          <w:rFonts w:ascii="Arial" w:hAnsi="Arial" w:cs="Arial"/>
          <w:lang w:val="en-GB"/>
        </w:rPr>
        <w:t xml:space="preserve"> is null and void and of no effect</w:t>
      </w:r>
      <w:r w:rsidR="00D62029">
        <w:rPr>
          <w:rFonts w:ascii="Arial" w:hAnsi="Arial" w:cs="Arial"/>
          <w:lang w:val="en-GB"/>
        </w:rPr>
        <w:t xml:space="preserve">. </w:t>
      </w:r>
    </w:p>
    <w:p w:rsidR="00D4731C" w:rsidRPr="00D4731C" w:rsidRDefault="00D4731C" w:rsidP="00D4731C">
      <w:pPr>
        <w:jc w:val="both"/>
        <w:rPr>
          <w:rFonts w:ascii="Arial" w:hAnsi="Arial" w:cs="Arial"/>
        </w:rPr>
      </w:pPr>
    </w:p>
    <w:p w:rsidR="00BF2A9E" w:rsidRPr="00BF2A9E" w:rsidRDefault="009D7842" w:rsidP="00BF2A9E">
      <w:pPr>
        <w:spacing w:line="360" w:lineRule="auto"/>
        <w:rPr>
          <w:rFonts w:ascii="Arial" w:hAnsi="Arial" w:cs="Arial"/>
          <w:b/>
        </w:rPr>
      </w:pPr>
      <w:r>
        <w:rPr>
          <w:rFonts w:ascii="Arial" w:hAnsi="Arial" w:cs="Arial"/>
          <w:b/>
        </w:rPr>
        <w:t>Historical facts</w:t>
      </w:r>
    </w:p>
    <w:p w:rsidR="005846A8" w:rsidRPr="00BF2A9E" w:rsidRDefault="00D62029" w:rsidP="00BF2A9E">
      <w:pPr>
        <w:pStyle w:val="ListParagraph"/>
        <w:numPr>
          <w:ilvl w:val="0"/>
          <w:numId w:val="2"/>
        </w:numPr>
        <w:spacing w:line="360" w:lineRule="auto"/>
        <w:jc w:val="both"/>
        <w:rPr>
          <w:rFonts w:ascii="Arial" w:hAnsi="Arial" w:cs="Arial"/>
          <w:lang w:val="en-GB"/>
        </w:rPr>
      </w:pPr>
      <w:r>
        <w:rPr>
          <w:rFonts w:ascii="Arial" w:hAnsi="Arial" w:cs="Arial"/>
        </w:rPr>
        <w:t xml:space="preserve">The present action has a long and </w:t>
      </w:r>
      <w:proofErr w:type="spellStart"/>
      <w:r>
        <w:rPr>
          <w:rFonts w:ascii="Arial" w:hAnsi="Arial" w:cs="Arial"/>
        </w:rPr>
        <w:t>chequered</w:t>
      </w:r>
      <w:proofErr w:type="spellEnd"/>
      <w:r>
        <w:rPr>
          <w:rFonts w:ascii="Arial" w:hAnsi="Arial" w:cs="Arial"/>
        </w:rPr>
        <w:t xml:space="preserve"> history. </w:t>
      </w:r>
      <w:r w:rsidR="00A167F9">
        <w:rPr>
          <w:rFonts w:ascii="Arial" w:hAnsi="Arial" w:cs="Arial"/>
        </w:rPr>
        <w:t xml:space="preserve">It all started on or about </w:t>
      </w:r>
      <w:r w:rsidR="00233D80" w:rsidRPr="00BF2A9E">
        <w:rPr>
          <w:rFonts w:ascii="Arial" w:hAnsi="Arial" w:cs="Arial"/>
        </w:rPr>
        <w:t>17 August</w:t>
      </w:r>
      <w:r w:rsidR="005846A8" w:rsidRPr="00BF2A9E">
        <w:rPr>
          <w:rFonts w:ascii="Arial" w:hAnsi="Arial" w:cs="Arial"/>
        </w:rPr>
        <w:t xml:space="preserve"> </w:t>
      </w:r>
      <w:r w:rsidR="00233D80" w:rsidRPr="00BF2A9E">
        <w:rPr>
          <w:rFonts w:ascii="Arial" w:hAnsi="Arial" w:cs="Arial"/>
        </w:rPr>
        <w:t>1</w:t>
      </w:r>
      <w:r w:rsidR="001C6DF6" w:rsidRPr="00BF2A9E">
        <w:rPr>
          <w:rFonts w:ascii="Arial" w:hAnsi="Arial" w:cs="Arial"/>
        </w:rPr>
        <w:t>982</w:t>
      </w:r>
      <w:r w:rsidR="005846A8" w:rsidRPr="00BF2A9E">
        <w:rPr>
          <w:rFonts w:ascii="Arial" w:hAnsi="Arial" w:cs="Arial"/>
        </w:rPr>
        <w:t xml:space="preserve"> when</w:t>
      </w:r>
      <w:r w:rsidR="0043303F" w:rsidRPr="00BF2A9E">
        <w:rPr>
          <w:rFonts w:ascii="Arial" w:hAnsi="Arial" w:cs="Arial"/>
        </w:rPr>
        <w:t xml:space="preserve"> the late Thaddeus Johnson</w:t>
      </w:r>
      <w:r w:rsidR="008D49C9">
        <w:rPr>
          <w:rFonts w:ascii="Arial" w:hAnsi="Arial" w:cs="Arial"/>
        </w:rPr>
        <w:t xml:space="preserve"> (</w:t>
      </w:r>
      <w:r w:rsidR="00A167F9">
        <w:rPr>
          <w:rFonts w:ascii="Arial" w:hAnsi="Arial" w:cs="Arial"/>
        </w:rPr>
        <w:t xml:space="preserve">“Thaddeus Johnson”) </w:t>
      </w:r>
      <w:r w:rsidR="0043303F" w:rsidRPr="00BF2A9E">
        <w:rPr>
          <w:rFonts w:ascii="Arial" w:hAnsi="Arial" w:cs="Arial"/>
        </w:rPr>
        <w:t xml:space="preserve">commenced Quieting </w:t>
      </w:r>
      <w:r w:rsidR="00A71A3D">
        <w:rPr>
          <w:rFonts w:ascii="Arial" w:hAnsi="Arial" w:cs="Arial"/>
        </w:rPr>
        <w:t>Petition</w:t>
      </w:r>
      <w:r w:rsidR="0043303F" w:rsidRPr="00BF2A9E">
        <w:rPr>
          <w:rFonts w:ascii="Arial" w:hAnsi="Arial" w:cs="Arial"/>
        </w:rPr>
        <w:t xml:space="preserve"> No. 10 of 1982 </w:t>
      </w:r>
      <w:r w:rsidR="005846A8" w:rsidRPr="00BF2A9E">
        <w:rPr>
          <w:rFonts w:ascii="Arial" w:hAnsi="Arial" w:cs="Arial"/>
        </w:rPr>
        <w:t>(“</w:t>
      </w:r>
      <w:r w:rsidR="00E84B40" w:rsidRPr="00BF2A9E">
        <w:rPr>
          <w:rFonts w:ascii="Arial" w:hAnsi="Arial" w:cs="Arial"/>
        </w:rPr>
        <w:t>Action No. 10 of 1982”)</w:t>
      </w:r>
      <w:r w:rsidR="005846A8" w:rsidRPr="00BF2A9E">
        <w:rPr>
          <w:rFonts w:ascii="Arial" w:hAnsi="Arial" w:cs="Arial"/>
        </w:rPr>
        <w:t xml:space="preserve"> </w:t>
      </w:r>
      <w:r w:rsidR="0043303F" w:rsidRPr="00BF2A9E">
        <w:rPr>
          <w:rFonts w:ascii="Arial" w:hAnsi="Arial" w:cs="Arial"/>
        </w:rPr>
        <w:t xml:space="preserve">claiming to be the legal and </w:t>
      </w:r>
      <w:r w:rsidR="00D34ED9" w:rsidRPr="00BF2A9E">
        <w:rPr>
          <w:rFonts w:ascii="Arial" w:hAnsi="Arial" w:cs="Arial"/>
        </w:rPr>
        <w:t xml:space="preserve">beneficial owner in fee simple in possession of lands the subject matter of </w:t>
      </w:r>
      <w:r w:rsidR="00A167F9">
        <w:rPr>
          <w:rFonts w:ascii="Arial" w:hAnsi="Arial" w:cs="Arial"/>
        </w:rPr>
        <w:t>the present action.</w:t>
      </w:r>
      <w:r w:rsidR="00D34ED9" w:rsidRPr="00BF2A9E">
        <w:rPr>
          <w:rFonts w:ascii="Arial" w:hAnsi="Arial" w:cs="Arial"/>
        </w:rPr>
        <w:t xml:space="preserve"> </w:t>
      </w:r>
    </w:p>
    <w:p w:rsidR="005846A8" w:rsidRPr="005846A8" w:rsidRDefault="005846A8" w:rsidP="00B01244">
      <w:pPr>
        <w:pStyle w:val="ListParagraph"/>
        <w:widowControl w:val="0"/>
        <w:autoSpaceDE w:val="0"/>
        <w:autoSpaceDN w:val="0"/>
        <w:jc w:val="both"/>
        <w:rPr>
          <w:rFonts w:ascii="Arial" w:hAnsi="Arial" w:cs="Arial"/>
          <w:lang w:val="en-GB"/>
        </w:rPr>
      </w:pPr>
    </w:p>
    <w:p w:rsidR="0013151A" w:rsidRPr="0013151A" w:rsidRDefault="007E0CC8" w:rsidP="00A167F9">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rPr>
        <w:t>On 16 September 1983, the c</w:t>
      </w:r>
      <w:r w:rsidR="00D34ED9">
        <w:rPr>
          <w:rFonts w:ascii="Arial" w:hAnsi="Arial" w:cs="Arial"/>
        </w:rPr>
        <w:t>ourt ordered Thaddeus</w:t>
      </w:r>
      <w:r w:rsidR="00A70473">
        <w:rPr>
          <w:rFonts w:ascii="Arial" w:hAnsi="Arial" w:cs="Arial"/>
        </w:rPr>
        <w:t xml:space="preserve"> Johnson</w:t>
      </w:r>
      <w:r w:rsidR="00D34ED9">
        <w:rPr>
          <w:rFonts w:ascii="Arial" w:hAnsi="Arial" w:cs="Arial"/>
        </w:rPr>
        <w:t xml:space="preserve"> to give notice of the Petition in the usual way.</w:t>
      </w:r>
      <w:r w:rsidR="00A167F9">
        <w:rPr>
          <w:rFonts w:ascii="Arial" w:hAnsi="Arial" w:cs="Arial"/>
        </w:rPr>
        <w:t xml:space="preserve"> </w:t>
      </w:r>
    </w:p>
    <w:p w:rsidR="0013151A" w:rsidRPr="0013151A" w:rsidRDefault="0013151A" w:rsidP="0013151A">
      <w:pPr>
        <w:pStyle w:val="ListParagraph"/>
        <w:rPr>
          <w:rFonts w:ascii="Arial" w:hAnsi="Arial" w:cs="Arial"/>
        </w:rPr>
      </w:pPr>
    </w:p>
    <w:p w:rsidR="00144009" w:rsidRPr="00A167F9" w:rsidRDefault="00D34ED9" w:rsidP="00A167F9">
      <w:pPr>
        <w:pStyle w:val="ListParagraph"/>
        <w:widowControl w:val="0"/>
        <w:numPr>
          <w:ilvl w:val="0"/>
          <w:numId w:val="2"/>
        </w:numPr>
        <w:autoSpaceDE w:val="0"/>
        <w:autoSpaceDN w:val="0"/>
        <w:spacing w:line="360" w:lineRule="auto"/>
        <w:jc w:val="both"/>
        <w:rPr>
          <w:rFonts w:ascii="Arial" w:hAnsi="Arial" w:cs="Arial"/>
          <w:lang w:val="en-GB"/>
        </w:rPr>
      </w:pPr>
      <w:r w:rsidRPr="00A167F9">
        <w:rPr>
          <w:rFonts w:ascii="Arial" w:hAnsi="Arial" w:cs="Arial"/>
        </w:rPr>
        <w:t xml:space="preserve">On or about 15 August 1984, </w:t>
      </w:r>
      <w:r w:rsidR="00A167F9">
        <w:rPr>
          <w:rFonts w:ascii="Arial" w:hAnsi="Arial" w:cs="Arial"/>
        </w:rPr>
        <w:t>the late</w:t>
      </w:r>
      <w:r w:rsidRPr="00A167F9">
        <w:rPr>
          <w:rFonts w:ascii="Arial" w:hAnsi="Arial" w:cs="Arial"/>
        </w:rPr>
        <w:t xml:space="preserve"> </w:t>
      </w:r>
      <w:proofErr w:type="spellStart"/>
      <w:r w:rsidRPr="00A167F9">
        <w:rPr>
          <w:rFonts w:ascii="Arial" w:hAnsi="Arial" w:cs="Arial"/>
        </w:rPr>
        <w:t>Eleazor</w:t>
      </w:r>
      <w:proofErr w:type="spellEnd"/>
      <w:r w:rsidRPr="00A167F9">
        <w:rPr>
          <w:rFonts w:ascii="Arial" w:hAnsi="Arial" w:cs="Arial"/>
        </w:rPr>
        <w:t xml:space="preserve"> Ferguson (“</w:t>
      </w:r>
      <w:proofErr w:type="spellStart"/>
      <w:r w:rsidRPr="00A167F9">
        <w:rPr>
          <w:rFonts w:ascii="Arial" w:hAnsi="Arial" w:cs="Arial"/>
        </w:rPr>
        <w:t>Eleazor</w:t>
      </w:r>
      <w:proofErr w:type="spellEnd"/>
      <w:r w:rsidR="00A70473" w:rsidRPr="00A167F9">
        <w:rPr>
          <w:rFonts w:ascii="Arial" w:hAnsi="Arial" w:cs="Arial"/>
        </w:rPr>
        <w:t xml:space="preserve"> Ferguson</w:t>
      </w:r>
      <w:r w:rsidRPr="00A167F9">
        <w:rPr>
          <w:rFonts w:ascii="Arial" w:hAnsi="Arial" w:cs="Arial"/>
        </w:rPr>
        <w:t xml:space="preserve">”) </w:t>
      </w:r>
      <w:r w:rsidR="005C4798" w:rsidRPr="00A167F9">
        <w:rPr>
          <w:rFonts w:ascii="Arial" w:hAnsi="Arial" w:cs="Arial"/>
        </w:rPr>
        <w:t xml:space="preserve">bought land </w:t>
      </w:r>
      <w:r w:rsidR="001C0C0A" w:rsidRPr="00A167F9">
        <w:rPr>
          <w:rFonts w:ascii="Arial" w:hAnsi="Arial" w:cs="Arial"/>
        </w:rPr>
        <w:t>(</w:t>
      </w:r>
      <w:r w:rsidR="005C4798" w:rsidRPr="00A167F9">
        <w:rPr>
          <w:rFonts w:ascii="Arial" w:hAnsi="Arial" w:cs="Arial"/>
        </w:rPr>
        <w:t xml:space="preserve">which was the subject matter of his </w:t>
      </w:r>
      <w:r w:rsidR="001C0C0A" w:rsidRPr="00A167F9">
        <w:rPr>
          <w:rFonts w:ascii="Arial" w:hAnsi="Arial" w:cs="Arial"/>
        </w:rPr>
        <w:t>ensuing</w:t>
      </w:r>
      <w:r w:rsidR="007E0CC8">
        <w:rPr>
          <w:rFonts w:ascii="Arial" w:hAnsi="Arial" w:cs="Arial"/>
        </w:rPr>
        <w:t xml:space="preserve"> certificate of t</w:t>
      </w:r>
      <w:r w:rsidR="005C4798" w:rsidRPr="00A167F9">
        <w:rPr>
          <w:rFonts w:ascii="Arial" w:hAnsi="Arial" w:cs="Arial"/>
        </w:rPr>
        <w:t>itle</w:t>
      </w:r>
      <w:r w:rsidR="001C0C0A" w:rsidRPr="00A167F9">
        <w:rPr>
          <w:rFonts w:ascii="Arial" w:hAnsi="Arial" w:cs="Arial"/>
        </w:rPr>
        <w:t>)</w:t>
      </w:r>
      <w:r w:rsidR="00824AF5" w:rsidRPr="00A167F9">
        <w:rPr>
          <w:rFonts w:ascii="Arial" w:hAnsi="Arial" w:cs="Arial"/>
        </w:rPr>
        <w:t xml:space="preserve"> from Thaddeus</w:t>
      </w:r>
      <w:r w:rsidR="00A70473" w:rsidRPr="00A167F9">
        <w:rPr>
          <w:rFonts w:ascii="Arial" w:hAnsi="Arial" w:cs="Arial"/>
        </w:rPr>
        <w:t xml:space="preserve"> Johnson</w:t>
      </w:r>
      <w:r w:rsidR="005C4798" w:rsidRPr="00A167F9">
        <w:rPr>
          <w:rFonts w:ascii="Arial" w:hAnsi="Arial" w:cs="Arial"/>
        </w:rPr>
        <w:t xml:space="preserve">. Shortly before the Petition was heard, </w:t>
      </w:r>
      <w:proofErr w:type="spellStart"/>
      <w:r w:rsidR="005C4798" w:rsidRPr="00A167F9">
        <w:rPr>
          <w:rFonts w:ascii="Arial" w:hAnsi="Arial" w:cs="Arial"/>
        </w:rPr>
        <w:t>Eleazor</w:t>
      </w:r>
      <w:proofErr w:type="spellEnd"/>
      <w:r w:rsidR="005C4798" w:rsidRPr="00A167F9">
        <w:rPr>
          <w:rFonts w:ascii="Arial" w:hAnsi="Arial" w:cs="Arial"/>
        </w:rPr>
        <w:t xml:space="preserve"> </w:t>
      </w:r>
      <w:r w:rsidR="00A70473" w:rsidRPr="00A167F9">
        <w:rPr>
          <w:rFonts w:ascii="Arial" w:hAnsi="Arial" w:cs="Arial"/>
        </w:rPr>
        <w:t xml:space="preserve">Ferguson </w:t>
      </w:r>
      <w:r w:rsidR="005C4798" w:rsidRPr="00A167F9">
        <w:rPr>
          <w:rFonts w:ascii="Arial" w:hAnsi="Arial" w:cs="Arial"/>
        </w:rPr>
        <w:t>was join</w:t>
      </w:r>
      <w:r w:rsidR="005846A8" w:rsidRPr="00A167F9">
        <w:rPr>
          <w:rFonts w:ascii="Arial" w:hAnsi="Arial" w:cs="Arial"/>
        </w:rPr>
        <w:t>ed</w:t>
      </w:r>
      <w:r w:rsidR="005C4798" w:rsidRPr="00A167F9">
        <w:rPr>
          <w:rFonts w:ascii="Arial" w:hAnsi="Arial" w:cs="Arial"/>
        </w:rPr>
        <w:t xml:space="preserve"> as an adverse claimant.</w:t>
      </w:r>
    </w:p>
    <w:p w:rsidR="005846A8" w:rsidRPr="005846A8" w:rsidRDefault="005846A8" w:rsidP="005846A8">
      <w:pPr>
        <w:pStyle w:val="ListParagraph"/>
        <w:rPr>
          <w:rFonts w:ascii="Arial" w:hAnsi="Arial" w:cs="Arial"/>
          <w:lang w:val="en-GB"/>
        </w:rPr>
      </w:pPr>
    </w:p>
    <w:p w:rsidR="00DF1529" w:rsidRDefault="005846A8" w:rsidP="00DF1529">
      <w:pPr>
        <w:pStyle w:val="ListParagraph"/>
        <w:widowControl w:val="0"/>
        <w:numPr>
          <w:ilvl w:val="0"/>
          <w:numId w:val="2"/>
        </w:numPr>
        <w:autoSpaceDE w:val="0"/>
        <w:autoSpaceDN w:val="0"/>
        <w:spacing w:line="360" w:lineRule="auto"/>
        <w:jc w:val="both"/>
        <w:rPr>
          <w:rFonts w:ascii="Arial" w:hAnsi="Arial" w:cs="Arial"/>
          <w:lang w:val="en-GB"/>
        </w:rPr>
      </w:pPr>
      <w:r w:rsidRPr="00A70473">
        <w:rPr>
          <w:rFonts w:ascii="Arial" w:hAnsi="Arial" w:cs="Arial"/>
          <w:lang w:val="en-GB"/>
        </w:rPr>
        <w:t xml:space="preserve">On 28 January 1985, Thaddeus </w:t>
      </w:r>
      <w:r w:rsidR="00A70473" w:rsidRPr="00A70473">
        <w:rPr>
          <w:rFonts w:ascii="Arial" w:hAnsi="Arial" w:cs="Arial"/>
          <w:lang w:val="en-GB"/>
        </w:rPr>
        <w:t xml:space="preserve">Johnson </w:t>
      </w:r>
      <w:r w:rsidR="007E0CC8">
        <w:rPr>
          <w:rFonts w:ascii="Arial" w:hAnsi="Arial" w:cs="Arial"/>
          <w:lang w:val="en-GB"/>
        </w:rPr>
        <w:t>was granted a certificate of t</w:t>
      </w:r>
      <w:r w:rsidRPr="00A70473">
        <w:rPr>
          <w:rFonts w:ascii="Arial" w:hAnsi="Arial" w:cs="Arial"/>
          <w:lang w:val="en-GB"/>
        </w:rPr>
        <w:t>itle under the Quieting Titles Act, 1959</w:t>
      </w:r>
      <w:r w:rsidR="00824AF5" w:rsidRPr="00A70473">
        <w:rPr>
          <w:rFonts w:ascii="Arial" w:hAnsi="Arial" w:cs="Arial"/>
          <w:lang w:val="en-GB"/>
        </w:rPr>
        <w:t xml:space="preserve"> (“the QTA”)</w:t>
      </w:r>
      <w:r w:rsidRPr="00A70473">
        <w:rPr>
          <w:rFonts w:ascii="Arial" w:hAnsi="Arial" w:cs="Arial"/>
          <w:lang w:val="en-GB"/>
        </w:rPr>
        <w:t xml:space="preserve"> in </w:t>
      </w:r>
      <w:r w:rsidR="00E84B40" w:rsidRPr="00A70473">
        <w:rPr>
          <w:rFonts w:ascii="Arial" w:hAnsi="Arial" w:cs="Arial"/>
          <w:lang w:val="en-GB"/>
        </w:rPr>
        <w:t>Action No. 10 of 1982.</w:t>
      </w:r>
      <w:r w:rsidRPr="00A70473">
        <w:rPr>
          <w:rFonts w:ascii="Arial" w:hAnsi="Arial" w:cs="Arial"/>
          <w:lang w:val="en-GB"/>
        </w:rPr>
        <w:t xml:space="preserve"> </w:t>
      </w:r>
      <w:proofErr w:type="spellStart"/>
      <w:r w:rsidRPr="00A70473">
        <w:rPr>
          <w:rFonts w:ascii="Arial" w:hAnsi="Arial" w:cs="Arial"/>
          <w:lang w:val="en-GB"/>
        </w:rPr>
        <w:t>Eleazor</w:t>
      </w:r>
      <w:proofErr w:type="spellEnd"/>
      <w:r w:rsidRPr="00A70473">
        <w:rPr>
          <w:rFonts w:ascii="Arial" w:hAnsi="Arial" w:cs="Arial"/>
          <w:lang w:val="en-GB"/>
        </w:rPr>
        <w:t xml:space="preserve"> </w:t>
      </w:r>
      <w:r w:rsidR="00A70473" w:rsidRPr="00A70473">
        <w:rPr>
          <w:rFonts w:ascii="Arial" w:hAnsi="Arial" w:cs="Arial"/>
          <w:lang w:val="en-GB"/>
        </w:rPr>
        <w:t>Ferg</w:t>
      </w:r>
      <w:r w:rsidR="007E0CC8">
        <w:rPr>
          <w:rFonts w:ascii="Arial" w:hAnsi="Arial" w:cs="Arial"/>
          <w:lang w:val="en-GB"/>
        </w:rPr>
        <w:t>uson</w:t>
      </w:r>
      <w:r w:rsidR="00A70473" w:rsidRPr="00A70473">
        <w:rPr>
          <w:rFonts w:ascii="Arial" w:hAnsi="Arial" w:cs="Arial"/>
          <w:lang w:val="en-GB"/>
        </w:rPr>
        <w:t xml:space="preserve"> </w:t>
      </w:r>
      <w:r w:rsidR="007E0CC8">
        <w:rPr>
          <w:rFonts w:ascii="Arial" w:hAnsi="Arial" w:cs="Arial"/>
          <w:lang w:val="en-GB"/>
        </w:rPr>
        <w:t>was also granted a certificate of t</w:t>
      </w:r>
      <w:r w:rsidRPr="00A70473">
        <w:rPr>
          <w:rFonts w:ascii="Arial" w:hAnsi="Arial" w:cs="Arial"/>
          <w:lang w:val="en-GB"/>
        </w:rPr>
        <w:t xml:space="preserve">itle </w:t>
      </w:r>
      <w:r w:rsidR="00161461">
        <w:rPr>
          <w:rFonts w:ascii="Arial" w:hAnsi="Arial" w:cs="Arial"/>
          <w:lang w:val="en-GB"/>
        </w:rPr>
        <w:t xml:space="preserve">on the same day </w:t>
      </w:r>
      <w:r w:rsidRPr="00A70473">
        <w:rPr>
          <w:rFonts w:ascii="Arial" w:hAnsi="Arial" w:cs="Arial"/>
          <w:lang w:val="en-GB"/>
        </w:rPr>
        <w:t>by virtu</w:t>
      </w:r>
      <w:r w:rsidR="00A70473" w:rsidRPr="00A70473">
        <w:rPr>
          <w:rFonts w:ascii="Arial" w:hAnsi="Arial" w:cs="Arial"/>
          <w:lang w:val="en-GB"/>
        </w:rPr>
        <w:t>e of his</w:t>
      </w:r>
      <w:r w:rsidR="0067191A">
        <w:rPr>
          <w:rFonts w:ascii="Arial" w:hAnsi="Arial" w:cs="Arial"/>
          <w:lang w:val="en-GB"/>
        </w:rPr>
        <w:t xml:space="preserve"> purchase from Thaddeus Johnson</w:t>
      </w:r>
      <w:r w:rsidR="00161461">
        <w:rPr>
          <w:rFonts w:ascii="Arial" w:hAnsi="Arial" w:cs="Arial"/>
          <w:lang w:val="en-GB"/>
        </w:rPr>
        <w:t>.</w:t>
      </w:r>
    </w:p>
    <w:p w:rsidR="00A167F9" w:rsidRPr="00A167F9" w:rsidRDefault="00A167F9" w:rsidP="00A167F9">
      <w:pPr>
        <w:pStyle w:val="ListParagraph"/>
        <w:rPr>
          <w:rFonts w:ascii="Arial" w:hAnsi="Arial" w:cs="Arial"/>
          <w:lang w:val="en-GB"/>
        </w:rPr>
      </w:pPr>
    </w:p>
    <w:p w:rsidR="004815D7" w:rsidRPr="00A167F9" w:rsidRDefault="00DF1529" w:rsidP="00A167F9">
      <w:pPr>
        <w:pStyle w:val="ListParagraph"/>
        <w:widowControl w:val="0"/>
        <w:numPr>
          <w:ilvl w:val="0"/>
          <w:numId w:val="2"/>
        </w:numPr>
        <w:autoSpaceDE w:val="0"/>
        <w:autoSpaceDN w:val="0"/>
        <w:spacing w:line="360" w:lineRule="auto"/>
        <w:jc w:val="both"/>
        <w:rPr>
          <w:rFonts w:ascii="Arial" w:hAnsi="Arial" w:cs="Arial"/>
          <w:lang w:val="en-GB"/>
        </w:rPr>
      </w:pPr>
      <w:r w:rsidRPr="00A167F9">
        <w:rPr>
          <w:rFonts w:ascii="Arial" w:hAnsi="Arial" w:cs="Arial"/>
          <w:lang w:val="en-GB"/>
        </w:rPr>
        <w:t xml:space="preserve">On or about </w:t>
      </w:r>
      <w:r w:rsidR="00E84B40" w:rsidRPr="00A167F9">
        <w:rPr>
          <w:rFonts w:ascii="Arial" w:hAnsi="Arial" w:cs="Arial"/>
          <w:lang w:val="en-GB"/>
        </w:rPr>
        <w:t xml:space="preserve">2 April </w:t>
      </w:r>
      <w:r w:rsidRPr="00A167F9">
        <w:rPr>
          <w:rFonts w:ascii="Arial" w:hAnsi="Arial" w:cs="Arial"/>
          <w:lang w:val="en-GB"/>
        </w:rPr>
        <w:t xml:space="preserve">1985, </w:t>
      </w:r>
      <w:r w:rsidR="00A167F9">
        <w:rPr>
          <w:rFonts w:ascii="Arial" w:hAnsi="Arial" w:cs="Arial"/>
          <w:lang w:val="en-GB"/>
        </w:rPr>
        <w:t>CB</w:t>
      </w:r>
      <w:r w:rsidRPr="00A167F9">
        <w:rPr>
          <w:rFonts w:ascii="Arial" w:hAnsi="Arial" w:cs="Arial"/>
          <w:lang w:val="en-GB"/>
        </w:rPr>
        <w:t xml:space="preserve"> commenced </w:t>
      </w:r>
      <w:r w:rsidR="00E84B40" w:rsidRPr="00A167F9">
        <w:rPr>
          <w:rFonts w:ascii="Arial" w:hAnsi="Arial" w:cs="Arial"/>
          <w:lang w:val="en-GB"/>
        </w:rPr>
        <w:t xml:space="preserve">legal proceedings </w:t>
      </w:r>
      <w:r w:rsidRPr="00A167F9">
        <w:rPr>
          <w:rFonts w:ascii="Arial" w:hAnsi="Arial" w:cs="Arial"/>
          <w:lang w:val="en-GB"/>
        </w:rPr>
        <w:t xml:space="preserve">against </w:t>
      </w:r>
      <w:r w:rsidR="00E93C60" w:rsidRPr="00A167F9">
        <w:rPr>
          <w:rFonts w:ascii="Arial" w:hAnsi="Arial" w:cs="Arial"/>
          <w:lang w:val="en-GB"/>
        </w:rPr>
        <w:t>Arawak Homes</w:t>
      </w:r>
      <w:r w:rsidR="00E84B40" w:rsidRPr="00A167F9">
        <w:rPr>
          <w:rFonts w:ascii="Arial" w:hAnsi="Arial" w:cs="Arial"/>
          <w:lang w:val="en-GB"/>
        </w:rPr>
        <w:t xml:space="preserve"> (“Action No. 355 of 1985”)</w:t>
      </w:r>
      <w:r w:rsidR="00E93C60" w:rsidRPr="00A167F9">
        <w:rPr>
          <w:rFonts w:ascii="Arial" w:hAnsi="Arial" w:cs="Arial"/>
          <w:lang w:val="en-GB"/>
        </w:rPr>
        <w:t xml:space="preserve"> </w:t>
      </w:r>
      <w:r w:rsidRPr="00A167F9">
        <w:rPr>
          <w:rFonts w:ascii="Arial" w:hAnsi="Arial" w:cs="Arial"/>
          <w:lang w:val="en-GB"/>
        </w:rPr>
        <w:t>claiming, among other things, possession and damages for trespass in respect of a portion of the</w:t>
      </w:r>
      <w:r w:rsidR="00613C7D" w:rsidRPr="00A167F9">
        <w:rPr>
          <w:rFonts w:ascii="Arial" w:hAnsi="Arial" w:cs="Arial"/>
          <w:lang w:val="en-GB"/>
        </w:rPr>
        <w:t xml:space="preserve"> land the subject matter of Thaddeus Johnson’s</w:t>
      </w:r>
      <w:r w:rsidR="007E0CC8">
        <w:rPr>
          <w:rFonts w:ascii="Arial" w:hAnsi="Arial" w:cs="Arial"/>
          <w:lang w:val="en-GB"/>
        </w:rPr>
        <w:t xml:space="preserve"> certificate of t</w:t>
      </w:r>
      <w:r w:rsidRPr="00A167F9">
        <w:rPr>
          <w:rFonts w:ascii="Arial" w:hAnsi="Arial" w:cs="Arial"/>
          <w:lang w:val="en-GB"/>
        </w:rPr>
        <w:t xml:space="preserve">itle. </w:t>
      </w:r>
      <w:r w:rsidR="00613C7D" w:rsidRPr="00A167F9">
        <w:rPr>
          <w:rFonts w:ascii="Arial" w:hAnsi="Arial" w:cs="Arial"/>
          <w:lang w:val="en-GB"/>
        </w:rPr>
        <w:t>Arawak Homes</w:t>
      </w:r>
      <w:r w:rsidRPr="00A167F9">
        <w:rPr>
          <w:rFonts w:ascii="Arial" w:hAnsi="Arial" w:cs="Arial"/>
          <w:lang w:val="en-GB"/>
        </w:rPr>
        <w:t xml:space="preserve"> (the defendant in that action) counterclaimed </w:t>
      </w:r>
      <w:r w:rsidR="0067191A" w:rsidRPr="00A167F9">
        <w:rPr>
          <w:rFonts w:ascii="Arial" w:hAnsi="Arial" w:cs="Arial"/>
          <w:lang w:val="en-GB"/>
        </w:rPr>
        <w:t xml:space="preserve">alleging </w:t>
      </w:r>
      <w:r w:rsidR="007E0CC8">
        <w:rPr>
          <w:rFonts w:ascii="Arial" w:hAnsi="Arial" w:cs="Arial"/>
          <w:lang w:val="en-GB"/>
        </w:rPr>
        <w:t>that Thaddeus Johnson’s certificate of t</w:t>
      </w:r>
      <w:r w:rsidRPr="00A167F9">
        <w:rPr>
          <w:rFonts w:ascii="Arial" w:hAnsi="Arial" w:cs="Arial"/>
          <w:lang w:val="en-GB"/>
        </w:rPr>
        <w:t>itle</w:t>
      </w:r>
      <w:r w:rsidR="0067191A" w:rsidRPr="00A167F9">
        <w:rPr>
          <w:rFonts w:ascii="Arial" w:hAnsi="Arial" w:cs="Arial"/>
          <w:lang w:val="en-GB"/>
        </w:rPr>
        <w:t xml:space="preserve"> </w:t>
      </w:r>
      <w:r w:rsidRPr="00A167F9">
        <w:rPr>
          <w:rFonts w:ascii="Arial" w:hAnsi="Arial" w:cs="Arial"/>
          <w:lang w:val="en-GB"/>
        </w:rPr>
        <w:t>was obtained by fraud.</w:t>
      </w:r>
      <w:r w:rsidR="003C03FE" w:rsidRPr="00A167F9">
        <w:rPr>
          <w:rFonts w:ascii="Arial" w:hAnsi="Arial" w:cs="Arial"/>
          <w:lang w:val="en-GB"/>
        </w:rPr>
        <w:t xml:space="preserve"> In a </w:t>
      </w:r>
      <w:r w:rsidR="007E0CC8">
        <w:rPr>
          <w:rFonts w:ascii="Arial" w:hAnsi="Arial" w:cs="Arial"/>
          <w:lang w:val="en-GB"/>
        </w:rPr>
        <w:t>well-reasoned</w:t>
      </w:r>
      <w:r w:rsidR="003C03FE" w:rsidRPr="00A167F9">
        <w:rPr>
          <w:rFonts w:ascii="Arial" w:hAnsi="Arial" w:cs="Arial"/>
          <w:lang w:val="en-GB"/>
        </w:rPr>
        <w:t xml:space="preserve"> judgment delivered on 11 April 1986, </w:t>
      </w:r>
      <w:proofErr w:type="spellStart"/>
      <w:r w:rsidR="003C03FE" w:rsidRPr="00A167F9">
        <w:rPr>
          <w:rFonts w:ascii="Arial" w:hAnsi="Arial" w:cs="Arial"/>
          <w:lang w:val="en-GB"/>
        </w:rPr>
        <w:t>Gonsalves-Sabola</w:t>
      </w:r>
      <w:proofErr w:type="spellEnd"/>
      <w:r w:rsidR="003C03FE" w:rsidRPr="00A167F9">
        <w:rPr>
          <w:rFonts w:ascii="Arial" w:hAnsi="Arial" w:cs="Arial"/>
          <w:lang w:val="en-GB"/>
        </w:rPr>
        <w:t xml:space="preserve"> J </w:t>
      </w:r>
      <w:r w:rsidR="00A167F9">
        <w:rPr>
          <w:rFonts w:ascii="Arial" w:hAnsi="Arial" w:cs="Arial"/>
          <w:lang w:val="en-GB"/>
        </w:rPr>
        <w:t>stated:</w:t>
      </w:r>
    </w:p>
    <w:p w:rsidR="002A21E6" w:rsidRDefault="002A21E6" w:rsidP="002A21E6">
      <w:pPr>
        <w:pStyle w:val="ListParagraph"/>
        <w:widowControl w:val="0"/>
        <w:autoSpaceDE w:val="0"/>
        <w:autoSpaceDN w:val="0"/>
        <w:ind w:left="1440"/>
        <w:jc w:val="both"/>
        <w:rPr>
          <w:rFonts w:ascii="Arial" w:hAnsi="Arial" w:cs="Arial"/>
          <w:b/>
          <w:sz w:val="22"/>
          <w:szCs w:val="22"/>
          <w:lang w:val="en-GB"/>
        </w:rPr>
      </w:pPr>
    </w:p>
    <w:p w:rsidR="004815D7" w:rsidRPr="002A21E6" w:rsidRDefault="00E84B40" w:rsidP="002A21E6">
      <w:pPr>
        <w:pStyle w:val="ListParagraph"/>
        <w:widowControl w:val="0"/>
        <w:autoSpaceDE w:val="0"/>
        <w:autoSpaceDN w:val="0"/>
        <w:ind w:left="1440"/>
        <w:jc w:val="both"/>
        <w:rPr>
          <w:rFonts w:ascii="Arial" w:hAnsi="Arial" w:cs="Arial"/>
          <w:b/>
          <w:sz w:val="22"/>
          <w:szCs w:val="22"/>
          <w:lang w:val="en-GB"/>
        </w:rPr>
      </w:pPr>
      <w:r w:rsidRPr="002A21E6">
        <w:rPr>
          <w:rFonts w:ascii="Arial" w:hAnsi="Arial" w:cs="Arial"/>
          <w:b/>
          <w:sz w:val="22"/>
          <w:szCs w:val="22"/>
          <w:lang w:val="en-GB"/>
        </w:rPr>
        <w:t>“On 17</w:t>
      </w:r>
      <w:r w:rsidRPr="002A21E6">
        <w:rPr>
          <w:rFonts w:ascii="Arial" w:hAnsi="Arial" w:cs="Arial"/>
          <w:b/>
          <w:sz w:val="22"/>
          <w:szCs w:val="22"/>
          <w:vertAlign w:val="superscript"/>
          <w:lang w:val="en-GB"/>
        </w:rPr>
        <w:t>th</w:t>
      </w:r>
      <w:r w:rsidRPr="002A21E6">
        <w:rPr>
          <w:rFonts w:ascii="Arial" w:hAnsi="Arial" w:cs="Arial"/>
          <w:b/>
          <w:sz w:val="22"/>
          <w:szCs w:val="22"/>
          <w:lang w:val="en-GB"/>
        </w:rPr>
        <w:t xml:space="preserve"> August, 1982 one Thaddeus Johnson petitioned the Supreme Court in Equity Action No. 10 of 1982 to quiet title to 41 blocks of land in Nassau Village Subdivision, New Providence. He alleged himself to be in </w:t>
      </w:r>
      <w:r w:rsidRPr="002A21E6">
        <w:rPr>
          <w:rFonts w:ascii="Arial" w:hAnsi="Arial" w:cs="Arial"/>
          <w:b/>
          <w:sz w:val="22"/>
          <w:szCs w:val="22"/>
          <w:lang w:val="en-GB"/>
        </w:rPr>
        <w:lastRenderedPageBreak/>
        <w:t xml:space="preserve">open and undisturbed possession of the land in question since 1935 and prayed the court to grant him a certificate of title. There were adverse claimants who opposed Thaddeus Johnson’s petition. They were one Joseph Finlayson, one </w:t>
      </w:r>
      <w:proofErr w:type="spellStart"/>
      <w:r w:rsidRPr="002A21E6">
        <w:rPr>
          <w:rFonts w:ascii="Arial" w:hAnsi="Arial" w:cs="Arial"/>
          <w:b/>
          <w:sz w:val="22"/>
          <w:szCs w:val="22"/>
          <w:lang w:val="en-GB"/>
        </w:rPr>
        <w:t>Eleaz</w:t>
      </w:r>
      <w:r w:rsidR="002A21E6" w:rsidRPr="002A21E6">
        <w:rPr>
          <w:rFonts w:ascii="Arial" w:hAnsi="Arial" w:cs="Arial"/>
          <w:b/>
          <w:sz w:val="22"/>
          <w:szCs w:val="22"/>
          <w:lang w:val="en-GB"/>
        </w:rPr>
        <w:t>ar</w:t>
      </w:r>
      <w:proofErr w:type="spellEnd"/>
      <w:r w:rsidR="002A21E6" w:rsidRPr="002A21E6">
        <w:rPr>
          <w:rFonts w:ascii="Arial" w:hAnsi="Arial" w:cs="Arial"/>
          <w:b/>
          <w:sz w:val="22"/>
          <w:szCs w:val="22"/>
          <w:lang w:val="en-GB"/>
        </w:rPr>
        <w:t xml:space="preserve"> Ferguson and P</w:t>
      </w:r>
      <w:r w:rsidRPr="002A21E6">
        <w:rPr>
          <w:rFonts w:ascii="Arial" w:hAnsi="Arial" w:cs="Arial"/>
          <w:b/>
          <w:sz w:val="22"/>
          <w:szCs w:val="22"/>
          <w:lang w:val="en-GB"/>
        </w:rPr>
        <w:t>inewood Gardens Ltd (In Liquidation) among others.</w:t>
      </w:r>
    </w:p>
    <w:p w:rsidR="00E84B40" w:rsidRPr="002A21E6" w:rsidRDefault="00E84B40" w:rsidP="002A21E6">
      <w:pPr>
        <w:pStyle w:val="ListParagraph"/>
        <w:widowControl w:val="0"/>
        <w:autoSpaceDE w:val="0"/>
        <w:autoSpaceDN w:val="0"/>
        <w:ind w:left="1440"/>
        <w:jc w:val="both"/>
        <w:rPr>
          <w:rFonts w:ascii="Arial" w:hAnsi="Arial" w:cs="Arial"/>
          <w:b/>
          <w:sz w:val="22"/>
          <w:szCs w:val="22"/>
          <w:lang w:val="en-GB"/>
        </w:rPr>
      </w:pPr>
    </w:p>
    <w:p w:rsidR="00E84B40" w:rsidRPr="00943AEF" w:rsidRDefault="00E84B40" w:rsidP="002A21E6">
      <w:pPr>
        <w:pStyle w:val="ListParagraph"/>
        <w:widowControl w:val="0"/>
        <w:autoSpaceDE w:val="0"/>
        <w:autoSpaceDN w:val="0"/>
        <w:ind w:left="1440"/>
        <w:jc w:val="both"/>
        <w:rPr>
          <w:rFonts w:ascii="Arial" w:hAnsi="Arial" w:cs="Arial"/>
          <w:sz w:val="22"/>
          <w:szCs w:val="22"/>
          <w:lang w:val="en-GB"/>
        </w:rPr>
      </w:pPr>
      <w:r w:rsidRPr="002A21E6">
        <w:rPr>
          <w:rFonts w:ascii="Arial" w:hAnsi="Arial" w:cs="Arial"/>
          <w:b/>
          <w:sz w:val="22"/>
          <w:szCs w:val="22"/>
          <w:lang w:val="en-GB"/>
        </w:rPr>
        <w:t xml:space="preserve">On the date of the hearing of the petition it was presented </w:t>
      </w:r>
      <w:r w:rsidR="00282660" w:rsidRPr="002A21E6">
        <w:rPr>
          <w:rFonts w:ascii="Arial" w:hAnsi="Arial" w:cs="Arial"/>
          <w:b/>
          <w:sz w:val="22"/>
          <w:szCs w:val="22"/>
          <w:lang w:val="en-GB"/>
        </w:rPr>
        <w:t xml:space="preserve">to the trial judge on behalf of the petitioner that, with one exception, all adverse claims were withdrawn and the judge thereafter proceeded to determine the petition and to grant to Thaddeus Johnson a certificate of title. </w:t>
      </w:r>
      <w:r w:rsidR="00282660" w:rsidRPr="006D7E48">
        <w:rPr>
          <w:rFonts w:ascii="Arial" w:hAnsi="Arial" w:cs="Arial"/>
          <w:b/>
          <w:sz w:val="22"/>
          <w:szCs w:val="22"/>
          <w:lang w:val="en-GB"/>
        </w:rPr>
        <w:t xml:space="preserve">On the petitioner’s concession of the adverse claim of </w:t>
      </w:r>
      <w:proofErr w:type="spellStart"/>
      <w:r w:rsidR="00282660" w:rsidRPr="006D7E48">
        <w:rPr>
          <w:rFonts w:ascii="Arial" w:hAnsi="Arial" w:cs="Arial"/>
          <w:b/>
          <w:sz w:val="22"/>
          <w:szCs w:val="22"/>
          <w:lang w:val="en-GB"/>
        </w:rPr>
        <w:t>Eleazar</w:t>
      </w:r>
      <w:proofErr w:type="spellEnd"/>
      <w:r w:rsidR="00282660" w:rsidRPr="006D7E48">
        <w:rPr>
          <w:rFonts w:ascii="Arial" w:hAnsi="Arial" w:cs="Arial"/>
          <w:b/>
          <w:sz w:val="22"/>
          <w:szCs w:val="22"/>
          <w:lang w:val="en-GB"/>
        </w:rPr>
        <w:t xml:space="preserve"> Ferguson, a certificate of title was simultaneously granted to him in respect of th</w:t>
      </w:r>
      <w:r w:rsidR="002A21E6" w:rsidRPr="006D7E48">
        <w:rPr>
          <w:rFonts w:ascii="Arial" w:hAnsi="Arial" w:cs="Arial"/>
          <w:b/>
          <w:sz w:val="22"/>
          <w:szCs w:val="22"/>
          <w:lang w:val="en-GB"/>
        </w:rPr>
        <w:t>e blocks he had claimed. This was</w:t>
      </w:r>
      <w:r w:rsidR="00282660" w:rsidRPr="006D7E48">
        <w:rPr>
          <w:rFonts w:ascii="Arial" w:hAnsi="Arial" w:cs="Arial"/>
          <w:b/>
          <w:sz w:val="22"/>
          <w:szCs w:val="22"/>
          <w:lang w:val="en-GB"/>
        </w:rPr>
        <w:t xml:space="preserve"> the one exception. Both certificates were granted on the 28</w:t>
      </w:r>
      <w:r w:rsidR="00282660" w:rsidRPr="006D7E48">
        <w:rPr>
          <w:rFonts w:ascii="Arial" w:hAnsi="Arial" w:cs="Arial"/>
          <w:b/>
          <w:sz w:val="22"/>
          <w:szCs w:val="22"/>
          <w:vertAlign w:val="superscript"/>
          <w:lang w:val="en-GB"/>
        </w:rPr>
        <w:t>th</w:t>
      </w:r>
      <w:r w:rsidR="00282660" w:rsidRPr="006D7E48">
        <w:rPr>
          <w:rFonts w:ascii="Arial" w:hAnsi="Arial" w:cs="Arial"/>
          <w:b/>
          <w:sz w:val="22"/>
          <w:szCs w:val="22"/>
          <w:lang w:val="en-GB"/>
        </w:rPr>
        <w:t xml:space="preserve"> January, 1985</w:t>
      </w:r>
      <w:r w:rsidR="00484C2E" w:rsidRPr="006D7E48">
        <w:rPr>
          <w:rFonts w:ascii="Arial" w:hAnsi="Arial" w:cs="Arial"/>
          <w:b/>
          <w:sz w:val="22"/>
          <w:szCs w:val="22"/>
          <w:lang w:val="en-GB"/>
        </w:rPr>
        <w:t xml:space="preserve"> and issued on 30</w:t>
      </w:r>
      <w:r w:rsidR="00484C2E" w:rsidRPr="006D7E48">
        <w:rPr>
          <w:rFonts w:ascii="Arial" w:hAnsi="Arial" w:cs="Arial"/>
          <w:b/>
          <w:sz w:val="22"/>
          <w:szCs w:val="22"/>
          <w:vertAlign w:val="superscript"/>
          <w:lang w:val="en-GB"/>
        </w:rPr>
        <w:t>th</w:t>
      </w:r>
      <w:r w:rsidR="00484C2E" w:rsidRPr="006D7E48">
        <w:rPr>
          <w:rFonts w:ascii="Arial" w:hAnsi="Arial" w:cs="Arial"/>
          <w:b/>
          <w:sz w:val="22"/>
          <w:szCs w:val="22"/>
          <w:lang w:val="en-GB"/>
        </w:rPr>
        <w:t xml:space="preserve"> January, 1985. </w:t>
      </w:r>
      <w:r w:rsidR="00484C2E" w:rsidRPr="00943AEF">
        <w:rPr>
          <w:rFonts w:ascii="Arial" w:hAnsi="Arial" w:cs="Arial"/>
          <w:b/>
          <w:sz w:val="22"/>
          <w:szCs w:val="22"/>
          <w:lang w:val="en-GB"/>
        </w:rPr>
        <w:t xml:space="preserve">The certificates of title were granted on the basis of the particular plan that was annexed to the Thaddeus Johnson’s petition. That plan was a copy of a Nassau Village Subdivision </w:t>
      </w:r>
      <w:r w:rsidR="00CA3E73" w:rsidRPr="00943AEF">
        <w:rPr>
          <w:rFonts w:ascii="Arial" w:hAnsi="Arial" w:cs="Arial"/>
          <w:b/>
          <w:sz w:val="22"/>
          <w:szCs w:val="22"/>
          <w:lang w:val="en-GB"/>
        </w:rPr>
        <w:t>plan dated January 1926. It is at the very heart of the plea of fraud now raised by the defendant (Arawak Homes) with respect to the grant to Thaddeus Johnson</w:t>
      </w:r>
      <w:r w:rsidR="00313278" w:rsidRPr="00943AEF">
        <w:rPr>
          <w:rFonts w:ascii="Arial" w:hAnsi="Arial" w:cs="Arial"/>
          <w:b/>
          <w:sz w:val="22"/>
          <w:szCs w:val="22"/>
          <w:lang w:val="en-GB"/>
        </w:rPr>
        <w:t xml:space="preserve"> </w:t>
      </w:r>
      <w:r w:rsidR="002A21E6" w:rsidRPr="00943AEF">
        <w:rPr>
          <w:rFonts w:ascii="Arial" w:hAnsi="Arial" w:cs="Arial"/>
          <w:b/>
          <w:sz w:val="22"/>
          <w:szCs w:val="22"/>
          <w:lang w:val="en-GB"/>
        </w:rPr>
        <w:t xml:space="preserve">of his certificate of title, that the Nassau Village Subdivision plan was misleading to the court in that it was not a survey plan and it failed to show the proprietary interest of Pinewood Gardens Ltd (In Liquidation) or that of any adjacent owner, which interest would have been shown had a recent survey plan been filed in support of the petition. </w:t>
      </w:r>
      <w:r w:rsidR="002A21E6" w:rsidRPr="00824AF5">
        <w:rPr>
          <w:rFonts w:ascii="Arial" w:hAnsi="Arial" w:cs="Arial"/>
          <w:b/>
          <w:sz w:val="22"/>
          <w:szCs w:val="22"/>
          <w:u w:val="single"/>
          <w:lang w:val="en-GB"/>
        </w:rPr>
        <w:t>Let me state right away that I have had no hesitation in concluding that the annexed plan of the Nassau Village Subdivision drawn, according to the date it bears, 56 years earlier, did not faithfully portray the existing situation on the groun</w:t>
      </w:r>
      <w:r w:rsidR="002A21E6" w:rsidRPr="00943AEF">
        <w:rPr>
          <w:rFonts w:ascii="Arial" w:hAnsi="Arial" w:cs="Arial"/>
          <w:b/>
          <w:sz w:val="22"/>
          <w:szCs w:val="22"/>
          <w:u w:val="single"/>
          <w:lang w:val="en-GB"/>
        </w:rPr>
        <w:t>d</w:t>
      </w:r>
      <w:r w:rsidR="002D4FB3" w:rsidRPr="00943AEF">
        <w:rPr>
          <w:rFonts w:ascii="Arial" w:hAnsi="Arial" w:cs="Arial"/>
          <w:b/>
          <w:sz w:val="22"/>
          <w:szCs w:val="22"/>
          <w:u w:val="single"/>
          <w:lang w:val="en-GB"/>
        </w:rPr>
        <w:t>. It signally failed to reflect the existence of what I find to be the approved contemporary Subdivision, the Pinewood Gardens Subdivision, which was visible in a large sweep of development at the time the petition was presented as well as when it came on for hearing and determination. The land in question fell within the Pinewood Gardens Subdivision</w:t>
      </w:r>
      <w:r w:rsidR="002D4FB3">
        <w:rPr>
          <w:rFonts w:ascii="Arial" w:hAnsi="Arial" w:cs="Arial"/>
          <w:b/>
          <w:sz w:val="22"/>
          <w:szCs w:val="22"/>
          <w:lang w:val="en-GB"/>
        </w:rPr>
        <w:t>.”</w:t>
      </w:r>
      <w:r w:rsidR="00943AEF">
        <w:rPr>
          <w:rFonts w:ascii="Arial" w:hAnsi="Arial" w:cs="Arial"/>
          <w:sz w:val="22"/>
          <w:szCs w:val="22"/>
          <w:lang w:val="en-GB"/>
        </w:rPr>
        <w:t>[Emphasis added]</w:t>
      </w:r>
    </w:p>
    <w:p w:rsidR="00313278" w:rsidRDefault="00313278" w:rsidP="008C10D4">
      <w:pPr>
        <w:pStyle w:val="ListParagraph"/>
        <w:widowControl w:val="0"/>
        <w:autoSpaceDE w:val="0"/>
        <w:autoSpaceDN w:val="0"/>
        <w:ind w:left="1440"/>
        <w:jc w:val="both"/>
        <w:rPr>
          <w:rFonts w:ascii="Arial" w:hAnsi="Arial" w:cs="Arial"/>
          <w:lang w:val="en-GB"/>
        </w:rPr>
      </w:pPr>
    </w:p>
    <w:p w:rsidR="00A70473" w:rsidRPr="00A70473" w:rsidRDefault="002A21E6" w:rsidP="00A70473">
      <w:pPr>
        <w:pStyle w:val="ListParagraph"/>
        <w:widowControl w:val="0"/>
        <w:numPr>
          <w:ilvl w:val="0"/>
          <w:numId w:val="2"/>
        </w:numPr>
        <w:autoSpaceDE w:val="0"/>
        <w:autoSpaceDN w:val="0"/>
        <w:spacing w:line="360" w:lineRule="auto"/>
        <w:jc w:val="both"/>
        <w:rPr>
          <w:rFonts w:ascii="Arial" w:hAnsi="Arial" w:cs="Arial"/>
          <w:lang w:val="en-GB"/>
        </w:rPr>
      </w:pPr>
      <w:proofErr w:type="spellStart"/>
      <w:r>
        <w:rPr>
          <w:rFonts w:ascii="Arial" w:hAnsi="Arial" w:cs="Arial"/>
          <w:lang w:val="en-GB"/>
        </w:rPr>
        <w:t>Gonsalves-Sabola</w:t>
      </w:r>
      <w:proofErr w:type="spellEnd"/>
      <w:r>
        <w:rPr>
          <w:rFonts w:ascii="Arial" w:hAnsi="Arial" w:cs="Arial"/>
          <w:lang w:val="en-GB"/>
        </w:rPr>
        <w:t xml:space="preserve"> J. declared</w:t>
      </w:r>
      <w:r w:rsidR="00A70473">
        <w:rPr>
          <w:rFonts w:ascii="Arial" w:hAnsi="Arial" w:cs="Arial"/>
          <w:lang w:val="en-GB"/>
        </w:rPr>
        <w:t>, among other</w:t>
      </w:r>
      <w:r w:rsidR="00943AEF">
        <w:rPr>
          <w:rFonts w:ascii="Arial" w:hAnsi="Arial" w:cs="Arial"/>
          <w:lang w:val="en-GB"/>
        </w:rPr>
        <w:t xml:space="preserve"> thing</w:t>
      </w:r>
      <w:r w:rsidR="00A70473">
        <w:rPr>
          <w:rFonts w:ascii="Arial" w:hAnsi="Arial" w:cs="Arial"/>
          <w:lang w:val="en-GB"/>
        </w:rPr>
        <w:t xml:space="preserve">s, </w:t>
      </w:r>
      <w:r>
        <w:rPr>
          <w:rFonts w:ascii="Arial" w:hAnsi="Arial" w:cs="Arial"/>
          <w:lang w:val="en-GB"/>
        </w:rPr>
        <w:t xml:space="preserve"> th</w:t>
      </w:r>
      <w:r w:rsidR="00A70473">
        <w:rPr>
          <w:rFonts w:ascii="Arial" w:hAnsi="Arial" w:cs="Arial"/>
          <w:lang w:val="en-GB"/>
        </w:rPr>
        <w:t>e following:</w:t>
      </w:r>
    </w:p>
    <w:p w:rsidR="002D4FB3" w:rsidRDefault="002D4FB3" w:rsidP="002D4FB3">
      <w:pPr>
        <w:pStyle w:val="ListParagraph"/>
        <w:widowControl w:val="0"/>
        <w:autoSpaceDE w:val="0"/>
        <w:autoSpaceDN w:val="0"/>
        <w:ind w:left="1800"/>
        <w:jc w:val="both"/>
        <w:rPr>
          <w:rFonts w:ascii="Arial" w:hAnsi="Arial" w:cs="Arial"/>
          <w:b/>
          <w:sz w:val="22"/>
          <w:szCs w:val="22"/>
          <w:lang w:val="en-GB"/>
        </w:rPr>
      </w:pPr>
    </w:p>
    <w:p w:rsidR="00A70473" w:rsidRPr="00A70473" w:rsidRDefault="00A70473" w:rsidP="00A70473">
      <w:pPr>
        <w:pStyle w:val="ListParagraph"/>
        <w:widowControl w:val="0"/>
        <w:numPr>
          <w:ilvl w:val="1"/>
          <w:numId w:val="2"/>
        </w:numPr>
        <w:autoSpaceDE w:val="0"/>
        <w:autoSpaceDN w:val="0"/>
        <w:jc w:val="both"/>
        <w:rPr>
          <w:rFonts w:ascii="Arial" w:hAnsi="Arial" w:cs="Arial"/>
          <w:b/>
          <w:sz w:val="22"/>
          <w:szCs w:val="22"/>
          <w:lang w:val="en-GB"/>
        </w:rPr>
      </w:pPr>
      <w:r w:rsidRPr="00A70473">
        <w:rPr>
          <w:rFonts w:ascii="Arial" w:hAnsi="Arial" w:cs="Arial"/>
          <w:b/>
          <w:sz w:val="22"/>
          <w:szCs w:val="22"/>
          <w:lang w:val="en-GB"/>
        </w:rPr>
        <w:t xml:space="preserve">As between CB and Arawak Homes the certificate of title granted to Thaddeus </w:t>
      </w:r>
      <w:r>
        <w:rPr>
          <w:rFonts w:ascii="Arial" w:hAnsi="Arial" w:cs="Arial"/>
          <w:b/>
          <w:sz w:val="22"/>
          <w:szCs w:val="22"/>
          <w:lang w:val="en-GB"/>
        </w:rPr>
        <w:t xml:space="preserve">Johnson </w:t>
      </w:r>
      <w:r w:rsidRPr="00A70473">
        <w:rPr>
          <w:rFonts w:ascii="Arial" w:hAnsi="Arial" w:cs="Arial"/>
          <w:b/>
          <w:sz w:val="22"/>
          <w:szCs w:val="22"/>
          <w:lang w:val="en-GB"/>
        </w:rPr>
        <w:t>in respect of Blocks 155, 156 and 157 of the Nassau Village Subdivision was ineffective in law to constitute a root of title to CB and</w:t>
      </w:r>
    </w:p>
    <w:p w:rsidR="00A70473" w:rsidRPr="00A70473" w:rsidRDefault="00A70473" w:rsidP="00A70473">
      <w:pPr>
        <w:pStyle w:val="ListParagraph"/>
        <w:widowControl w:val="0"/>
        <w:autoSpaceDE w:val="0"/>
        <w:autoSpaceDN w:val="0"/>
        <w:ind w:left="1800"/>
        <w:jc w:val="both"/>
        <w:rPr>
          <w:rFonts w:ascii="Arial" w:hAnsi="Arial" w:cs="Arial"/>
          <w:b/>
          <w:sz w:val="22"/>
          <w:szCs w:val="22"/>
          <w:lang w:val="en-GB"/>
        </w:rPr>
      </w:pPr>
    </w:p>
    <w:p w:rsidR="00A70473" w:rsidRPr="00A70473" w:rsidRDefault="00A70473" w:rsidP="00A70473">
      <w:pPr>
        <w:pStyle w:val="ListParagraph"/>
        <w:widowControl w:val="0"/>
        <w:numPr>
          <w:ilvl w:val="1"/>
          <w:numId w:val="2"/>
        </w:numPr>
        <w:autoSpaceDE w:val="0"/>
        <w:autoSpaceDN w:val="0"/>
        <w:jc w:val="both"/>
        <w:rPr>
          <w:rFonts w:ascii="Arial" w:hAnsi="Arial" w:cs="Arial"/>
          <w:b/>
          <w:sz w:val="22"/>
          <w:szCs w:val="22"/>
          <w:lang w:val="en-GB"/>
        </w:rPr>
      </w:pPr>
      <w:r w:rsidRPr="00A70473">
        <w:rPr>
          <w:rFonts w:ascii="Arial" w:hAnsi="Arial" w:cs="Arial"/>
          <w:b/>
          <w:sz w:val="22"/>
          <w:szCs w:val="22"/>
          <w:lang w:val="en-GB"/>
        </w:rPr>
        <w:t xml:space="preserve">CB was not a </w:t>
      </w:r>
      <w:r w:rsidRPr="00A70473">
        <w:rPr>
          <w:rFonts w:ascii="Arial" w:hAnsi="Arial" w:cs="Arial"/>
          <w:b/>
          <w:i/>
          <w:sz w:val="22"/>
          <w:szCs w:val="22"/>
          <w:lang w:val="en-GB"/>
        </w:rPr>
        <w:t>bona fide</w:t>
      </w:r>
      <w:r w:rsidRPr="00A70473">
        <w:rPr>
          <w:rFonts w:ascii="Arial" w:hAnsi="Arial" w:cs="Arial"/>
          <w:b/>
          <w:sz w:val="22"/>
          <w:szCs w:val="22"/>
          <w:lang w:val="en-GB"/>
        </w:rPr>
        <w:t xml:space="preserve"> purchaser for valuable consideration without notice of the said blocks of lands in terms of s. 27 of the QTA. </w:t>
      </w:r>
    </w:p>
    <w:p w:rsidR="00A70473" w:rsidRDefault="00A70473" w:rsidP="008C10D4">
      <w:pPr>
        <w:pStyle w:val="ListParagraph"/>
        <w:widowControl w:val="0"/>
        <w:autoSpaceDE w:val="0"/>
        <w:autoSpaceDN w:val="0"/>
        <w:ind w:left="1440"/>
        <w:jc w:val="both"/>
        <w:rPr>
          <w:rFonts w:ascii="Arial" w:hAnsi="Arial" w:cs="Arial"/>
          <w:lang w:val="en-GB"/>
        </w:rPr>
      </w:pPr>
    </w:p>
    <w:p w:rsidR="002A21E6" w:rsidRPr="00A70473" w:rsidRDefault="002A21E6" w:rsidP="00A70473">
      <w:pPr>
        <w:pStyle w:val="ListParagraph"/>
        <w:widowControl w:val="0"/>
        <w:numPr>
          <w:ilvl w:val="0"/>
          <w:numId w:val="2"/>
        </w:numPr>
        <w:autoSpaceDE w:val="0"/>
        <w:autoSpaceDN w:val="0"/>
        <w:spacing w:line="360" w:lineRule="auto"/>
        <w:jc w:val="both"/>
        <w:rPr>
          <w:rFonts w:ascii="Arial" w:hAnsi="Arial" w:cs="Arial"/>
          <w:lang w:val="en-GB"/>
        </w:rPr>
      </w:pPr>
      <w:r w:rsidRPr="00A70473">
        <w:rPr>
          <w:rFonts w:ascii="Arial" w:hAnsi="Arial" w:cs="Arial"/>
          <w:lang w:val="en-GB"/>
        </w:rPr>
        <w:t xml:space="preserve">The </w:t>
      </w:r>
      <w:r w:rsidR="00A70473">
        <w:rPr>
          <w:rFonts w:ascii="Arial" w:hAnsi="Arial" w:cs="Arial"/>
          <w:lang w:val="en-GB"/>
        </w:rPr>
        <w:t xml:space="preserve">learned </w:t>
      </w:r>
      <w:r w:rsidRPr="00A70473">
        <w:rPr>
          <w:rFonts w:ascii="Arial" w:hAnsi="Arial" w:cs="Arial"/>
          <w:lang w:val="en-GB"/>
        </w:rPr>
        <w:t>judge had before him the record of the application to quieten the title and heard evidence from Thaddeus Johnson</w:t>
      </w:r>
      <w:r w:rsidR="002D4FB3">
        <w:rPr>
          <w:rFonts w:ascii="Arial" w:hAnsi="Arial" w:cs="Arial"/>
          <w:lang w:val="en-GB"/>
        </w:rPr>
        <w:t xml:space="preserve"> himself</w:t>
      </w:r>
      <w:r w:rsidRPr="00A70473">
        <w:rPr>
          <w:rFonts w:ascii="Arial" w:hAnsi="Arial" w:cs="Arial"/>
          <w:lang w:val="en-GB"/>
        </w:rPr>
        <w:t xml:space="preserve">. </w:t>
      </w:r>
      <w:r w:rsidR="00D50A72">
        <w:rPr>
          <w:rFonts w:ascii="Arial" w:hAnsi="Arial" w:cs="Arial"/>
          <w:lang w:val="en-GB"/>
        </w:rPr>
        <w:t xml:space="preserve">Thaddeus Johnson struck him as a man “getting on in years whose thought processes were not fully in command of the somewhat involved business transaction in which he, nominally, </w:t>
      </w:r>
      <w:r w:rsidR="00D50A72">
        <w:rPr>
          <w:rFonts w:ascii="Arial" w:hAnsi="Arial" w:cs="Arial"/>
          <w:lang w:val="en-GB"/>
        </w:rPr>
        <w:lastRenderedPageBreak/>
        <w:t>was a central figure</w:t>
      </w:r>
      <w:r w:rsidR="00B01244">
        <w:rPr>
          <w:rFonts w:ascii="Arial" w:hAnsi="Arial" w:cs="Arial"/>
          <w:lang w:val="en-GB"/>
        </w:rPr>
        <w:t>.”</w:t>
      </w:r>
      <w:r w:rsidR="00D50A72">
        <w:rPr>
          <w:rFonts w:ascii="Arial" w:hAnsi="Arial" w:cs="Arial"/>
          <w:lang w:val="en-GB"/>
        </w:rPr>
        <w:t xml:space="preserve"> </w:t>
      </w:r>
      <w:r w:rsidR="0095062C">
        <w:rPr>
          <w:rFonts w:ascii="Arial" w:hAnsi="Arial" w:cs="Arial"/>
          <w:lang w:val="en-GB"/>
        </w:rPr>
        <w:t>The Learned judge</w:t>
      </w:r>
      <w:r w:rsidRPr="00A70473">
        <w:rPr>
          <w:rFonts w:ascii="Arial" w:hAnsi="Arial" w:cs="Arial"/>
          <w:lang w:val="en-GB"/>
        </w:rPr>
        <w:t xml:space="preserve"> </w:t>
      </w:r>
      <w:r w:rsidR="00D50A72">
        <w:rPr>
          <w:rFonts w:ascii="Arial" w:hAnsi="Arial" w:cs="Arial"/>
          <w:lang w:val="en-GB"/>
        </w:rPr>
        <w:t xml:space="preserve">also </w:t>
      </w:r>
      <w:r w:rsidRPr="00A70473">
        <w:rPr>
          <w:rFonts w:ascii="Arial" w:hAnsi="Arial" w:cs="Arial"/>
          <w:lang w:val="en-GB"/>
        </w:rPr>
        <w:t xml:space="preserve">found </w:t>
      </w:r>
      <w:r w:rsidR="0095062C">
        <w:rPr>
          <w:rFonts w:ascii="Arial" w:hAnsi="Arial" w:cs="Arial"/>
          <w:lang w:val="en-GB"/>
        </w:rPr>
        <w:t>Thaddeus Johnson</w:t>
      </w:r>
      <w:r w:rsidRPr="00A70473">
        <w:rPr>
          <w:rFonts w:ascii="Arial" w:hAnsi="Arial" w:cs="Arial"/>
          <w:lang w:val="en-GB"/>
        </w:rPr>
        <w:t xml:space="preserve"> to be a man of humble means</w:t>
      </w:r>
      <w:proofErr w:type="gramStart"/>
      <w:r w:rsidR="00D1455F" w:rsidRPr="00A70473">
        <w:rPr>
          <w:rFonts w:ascii="Arial" w:hAnsi="Arial" w:cs="Arial"/>
          <w:lang w:val="en-GB"/>
        </w:rPr>
        <w:t>,</w:t>
      </w:r>
      <w:proofErr w:type="gramEnd"/>
      <w:r w:rsidR="00D1455F" w:rsidRPr="00A70473">
        <w:rPr>
          <w:rFonts w:ascii="Arial" w:hAnsi="Arial" w:cs="Arial"/>
          <w:lang w:val="en-GB"/>
        </w:rPr>
        <w:t xml:space="preserve"> had acted throughout the application on behalf of a </w:t>
      </w:r>
      <w:proofErr w:type="spellStart"/>
      <w:r w:rsidR="00D1455F" w:rsidRPr="00A70473">
        <w:rPr>
          <w:rFonts w:ascii="Arial" w:hAnsi="Arial" w:cs="Arial"/>
          <w:lang w:val="en-GB"/>
        </w:rPr>
        <w:t>Mr.</w:t>
      </w:r>
      <w:proofErr w:type="spellEnd"/>
      <w:r w:rsidR="00D1455F" w:rsidRPr="00A70473">
        <w:rPr>
          <w:rFonts w:ascii="Arial" w:hAnsi="Arial" w:cs="Arial"/>
          <w:lang w:val="en-GB"/>
        </w:rPr>
        <w:t xml:space="preserve"> Robinson, who controlled CB. </w:t>
      </w:r>
      <w:r w:rsidR="00D1455F" w:rsidRPr="0095062C">
        <w:rPr>
          <w:rFonts w:ascii="Arial" w:hAnsi="Arial" w:cs="Arial"/>
          <w:b/>
          <w:lang w:val="en-GB"/>
        </w:rPr>
        <w:t>He held that CB could not rely on the certificate of title because Thaddeus Johnson’s application was based on an outdated plan from 1926 which did not portray the existing situation on the ground</w:t>
      </w:r>
      <w:r w:rsidR="0095062C">
        <w:rPr>
          <w:rFonts w:ascii="Arial" w:hAnsi="Arial" w:cs="Arial"/>
          <w:b/>
          <w:lang w:val="en-GB"/>
        </w:rPr>
        <w:t xml:space="preserve"> </w:t>
      </w:r>
      <w:r w:rsidR="0095062C">
        <w:rPr>
          <w:rFonts w:ascii="Arial" w:hAnsi="Arial" w:cs="Arial"/>
          <w:lang w:val="en-GB"/>
        </w:rPr>
        <w:t>[Emphasis added].</w:t>
      </w:r>
      <w:r w:rsidR="00D1455F" w:rsidRPr="00A70473">
        <w:rPr>
          <w:rFonts w:ascii="Arial" w:hAnsi="Arial" w:cs="Arial"/>
          <w:lang w:val="en-GB"/>
        </w:rPr>
        <w:t xml:space="preserve"> But the learned judge </w:t>
      </w:r>
      <w:r w:rsidR="008E66A1">
        <w:rPr>
          <w:rFonts w:ascii="Arial" w:hAnsi="Arial" w:cs="Arial"/>
          <w:lang w:val="en-GB"/>
        </w:rPr>
        <w:t xml:space="preserve">refrained from </w:t>
      </w:r>
      <w:r w:rsidR="00D1455F" w:rsidRPr="00A70473">
        <w:rPr>
          <w:rFonts w:ascii="Arial" w:hAnsi="Arial" w:cs="Arial"/>
          <w:lang w:val="en-GB"/>
        </w:rPr>
        <w:t>making a ruling on the validity of Thaddeus Johnson’s title as he was not a party to the action and no order was sought against him.</w:t>
      </w:r>
    </w:p>
    <w:p w:rsidR="00D1455F" w:rsidRDefault="00D1455F" w:rsidP="008C10D4">
      <w:pPr>
        <w:pStyle w:val="ListParagraph"/>
        <w:widowControl w:val="0"/>
        <w:autoSpaceDE w:val="0"/>
        <w:autoSpaceDN w:val="0"/>
        <w:jc w:val="both"/>
        <w:rPr>
          <w:rFonts w:ascii="Arial" w:hAnsi="Arial" w:cs="Arial"/>
          <w:lang w:val="en-GB"/>
        </w:rPr>
      </w:pPr>
    </w:p>
    <w:p w:rsidR="00CF1732" w:rsidRDefault="0095062C" w:rsidP="00D1455F">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Aggrieved by th</w:t>
      </w:r>
      <w:r w:rsidR="00233D80" w:rsidRPr="00D1455F">
        <w:rPr>
          <w:rFonts w:ascii="Arial" w:hAnsi="Arial" w:cs="Arial"/>
          <w:lang w:val="en-GB"/>
        </w:rPr>
        <w:t xml:space="preserve">e judgment of </w:t>
      </w:r>
      <w:proofErr w:type="spellStart"/>
      <w:r w:rsidR="00233D80" w:rsidRPr="00D1455F">
        <w:rPr>
          <w:rFonts w:ascii="Arial" w:hAnsi="Arial" w:cs="Arial"/>
          <w:lang w:val="en-GB"/>
        </w:rPr>
        <w:t>Gonsalves-Sabola</w:t>
      </w:r>
      <w:proofErr w:type="spellEnd"/>
      <w:r w:rsidR="00233D80" w:rsidRPr="00D1455F">
        <w:rPr>
          <w:rFonts w:ascii="Arial" w:hAnsi="Arial" w:cs="Arial"/>
          <w:lang w:val="en-GB"/>
        </w:rPr>
        <w:t xml:space="preserve"> J, </w:t>
      </w:r>
      <w:r w:rsidR="00397D77">
        <w:rPr>
          <w:rFonts w:ascii="Arial" w:hAnsi="Arial" w:cs="Arial"/>
          <w:lang w:val="en-GB"/>
        </w:rPr>
        <w:t>CB</w:t>
      </w:r>
      <w:r w:rsidR="00233D80" w:rsidRPr="00D1455F">
        <w:rPr>
          <w:rFonts w:ascii="Arial" w:hAnsi="Arial" w:cs="Arial"/>
          <w:lang w:val="en-GB"/>
        </w:rPr>
        <w:t xml:space="preserve"> appealed to the Court of Appeal – No. 11 of 1987. </w:t>
      </w:r>
      <w:r w:rsidR="004815D7" w:rsidRPr="00D1455F">
        <w:rPr>
          <w:rFonts w:ascii="Arial" w:hAnsi="Arial" w:cs="Arial"/>
          <w:lang w:val="en-GB"/>
        </w:rPr>
        <w:t xml:space="preserve">On 18 June 1992, the Court of Appeal dismissed the appeal with costs to </w:t>
      </w:r>
      <w:r w:rsidR="00397D77">
        <w:rPr>
          <w:rFonts w:ascii="Arial" w:hAnsi="Arial" w:cs="Arial"/>
          <w:lang w:val="en-GB"/>
        </w:rPr>
        <w:t>Arawak Homes.</w:t>
      </w:r>
      <w:r w:rsidR="004815D7" w:rsidRPr="00D1455F">
        <w:rPr>
          <w:rFonts w:ascii="Arial" w:hAnsi="Arial" w:cs="Arial"/>
          <w:lang w:val="en-GB"/>
        </w:rPr>
        <w:t xml:space="preserve"> </w:t>
      </w:r>
      <w:r w:rsidR="00AC6EB1">
        <w:rPr>
          <w:rFonts w:ascii="Arial" w:hAnsi="Arial" w:cs="Arial"/>
          <w:lang w:val="en-GB"/>
        </w:rPr>
        <w:t xml:space="preserve">The Court promised to give written reasons which it did on </w:t>
      </w:r>
      <w:r w:rsidR="004815D7" w:rsidRPr="00D1455F">
        <w:rPr>
          <w:rFonts w:ascii="Arial" w:hAnsi="Arial" w:cs="Arial"/>
          <w:lang w:val="en-GB"/>
        </w:rPr>
        <w:t>5 October 1992</w:t>
      </w:r>
      <w:r w:rsidR="00AC6EB1">
        <w:rPr>
          <w:rFonts w:ascii="Arial" w:hAnsi="Arial" w:cs="Arial"/>
          <w:lang w:val="en-GB"/>
        </w:rPr>
        <w:t xml:space="preserve">. </w:t>
      </w:r>
      <w:r w:rsidR="001C6E06">
        <w:rPr>
          <w:rFonts w:ascii="Arial" w:hAnsi="Arial" w:cs="Arial"/>
          <w:lang w:val="en-GB"/>
        </w:rPr>
        <w:t>Melville JA</w:t>
      </w:r>
      <w:r w:rsidR="00AC6EB1">
        <w:rPr>
          <w:rFonts w:ascii="Arial" w:hAnsi="Arial" w:cs="Arial"/>
          <w:lang w:val="en-GB"/>
        </w:rPr>
        <w:t xml:space="preserve"> found that ‘the evidence of fraud was overwhelming”.</w:t>
      </w:r>
      <w:r w:rsidR="00CF1732">
        <w:rPr>
          <w:rFonts w:ascii="Arial" w:hAnsi="Arial" w:cs="Arial"/>
          <w:lang w:val="en-GB"/>
        </w:rPr>
        <w:t xml:space="preserve"> At page 9 of his judgment, he had this to say:</w:t>
      </w:r>
    </w:p>
    <w:p w:rsidR="00CF1732" w:rsidRPr="00CF1732" w:rsidRDefault="00CF1732" w:rsidP="00CF1732">
      <w:pPr>
        <w:pStyle w:val="ListParagraph"/>
        <w:rPr>
          <w:rFonts w:ascii="Arial" w:hAnsi="Arial" w:cs="Arial"/>
          <w:lang w:val="en-GB"/>
        </w:rPr>
      </w:pPr>
    </w:p>
    <w:p w:rsidR="00CF1732" w:rsidRPr="00D95A29" w:rsidRDefault="00CF1732" w:rsidP="001E04D7">
      <w:pPr>
        <w:pStyle w:val="ListParagraph"/>
        <w:widowControl w:val="0"/>
        <w:autoSpaceDE w:val="0"/>
        <w:autoSpaceDN w:val="0"/>
        <w:ind w:left="1440"/>
        <w:jc w:val="both"/>
        <w:rPr>
          <w:rFonts w:ascii="Arial" w:hAnsi="Arial" w:cs="Arial"/>
          <w:sz w:val="22"/>
          <w:szCs w:val="22"/>
          <w:lang w:val="en-GB"/>
        </w:rPr>
      </w:pPr>
      <w:r w:rsidRPr="001E04D7">
        <w:rPr>
          <w:rFonts w:ascii="Arial" w:hAnsi="Arial" w:cs="Arial"/>
          <w:b/>
          <w:sz w:val="22"/>
          <w:szCs w:val="22"/>
          <w:lang w:val="en-GB"/>
        </w:rPr>
        <w:t xml:space="preserve">“The plan which was part of the petition in suit No. 10 of 1982 was done in 1926 – some 56 years earlier – and was a complete misrepresentation of the true position on earth at the time of the hearing of the Quieting Title petition. The evidence of </w:t>
      </w:r>
      <w:proofErr w:type="spellStart"/>
      <w:r w:rsidRPr="001E04D7">
        <w:rPr>
          <w:rFonts w:ascii="Arial" w:hAnsi="Arial" w:cs="Arial"/>
          <w:b/>
          <w:sz w:val="22"/>
          <w:szCs w:val="22"/>
          <w:lang w:val="en-GB"/>
        </w:rPr>
        <w:t>Mr.</w:t>
      </w:r>
      <w:proofErr w:type="spellEnd"/>
      <w:r w:rsidRPr="001E04D7">
        <w:rPr>
          <w:rFonts w:ascii="Arial" w:hAnsi="Arial" w:cs="Arial"/>
          <w:b/>
          <w:sz w:val="22"/>
          <w:szCs w:val="22"/>
          <w:lang w:val="en-GB"/>
        </w:rPr>
        <w:t xml:space="preserve"> </w:t>
      </w:r>
      <w:proofErr w:type="spellStart"/>
      <w:r w:rsidRPr="001E04D7">
        <w:rPr>
          <w:rFonts w:ascii="Arial" w:hAnsi="Arial" w:cs="Arial"/>
          <w:b/>
          <w:sz w:val="22"/>
          <w:szCs w:val="22"/>
          <w:lang w:val="en-GB"/>
        </w:rPr>
        <w:t>Chee</w:t>
      </w:r>
      <w:proofErr w:type="spellEnd"/>
      <w:r w:rsidRPr="001E04D7">
        <w:rPr>
          <w:rFonts w:ascii="Arial" w:hAnsi="Arial" w:cs="Arial"/>
          <w:b/>
          <w:sz w:val="22"/>
          <w:szCs w:val="22"/>
          <w:lang w:val="en-GB"/>
        </w:rPr>
        <w:t xml:space="preserve">-a-Tow, a surveyor with some 35 years of Bahamian experience, and which the trial judge accepted, was that he prepared a plan of Pinewood Gardens Subdivision in 1972. When that plan was compared with the 1926 Nassau Village Subdivision plan there was overlapping, the disputed blocks which were in the southern portion of the 1926 plan were really a part of the Pinewood Gardens Subdivision. </w:t>
      </w:r>
      <w:r w:rsidRPr="00D95A29">
        <w:rPr>
          <w:rFonts w:ascii="Arial" w:hAnsi="Arial" w:cs="Arial"/>
          <w:b/>
          <w:sz w:val="22"/>
          <w:szCs w:val="22"/>
          <w:u w:val="single"/>
          <w:lang w:val="en-GB"/>
        </w:rPr>
        <w:t xml:space="preserve">The 1926 plan was a paper sub-division </w:t>
      </w:r>
      <w:r w:rsidR="0064626B" w:rsidRPr="00D95A29">
        <w:rPr>
          <w:rFonts w:ascii="Arial" w:hAnsi="Arial" w:cs="Arial"/>
          <w:b/>
          <w:sz w:val="22"/>
          <w:szCs w:val="22"/>
          <w:u w:val="single"/>
          <w:lang w:val="en-GB"/>
        </w:rPr>
        <w:t>which was never laid out on the ground. The streets and lots and other physical amenities which were laid out in the 1972 plan were all absent from the 1926 plan</w:t>
      </w:r>
      <w:r w:rsidR="00D95A29" w:rsidRPr="00D95A29">
        <w:rPr>
          <w:rFonts w:ascii="Arial" w:hAnsi="Arial" w:cs="Arial"/>
          <w:b/>
          <w:sz w:val="22"/>
          <w:szCs w:val="22"/>
          <w:lang w:val="en-GB"/>
        </w:rPr>
        <w:t>.</w:t>
      </w:r>
      <w:r w:rsidR="00D95A29">
        <w:rPr>
          <w:rFonts w:ascii="Arial" w:hAnsi="Arial" w:cs="Arial"/>
          <w:b/>
          <w:sz w:val="22"/>
          <w:szCs w:val="22"/>
          <w:lang w:val="en-GB"/>
        </w:rPr>
        <w:t xml:space="preserve"> </w:t>
      </w:r>
      <w:r w:rsidR="00D95A29">
        <w:rPr>
          <w:rFonts w:ascii="Arial" w:hAnsi="Arial" w:cs="Arial"/>
          <w:sz w:val="22"/>
          <w:szCs w:val="22"/>
          <w:lang w:val="en-GB"/>
        </w:rPr>
        <w:t>[Emphasis added]</w:t>
      </w:r>
    </w:p>
    <w:p w:rsidR="0064626B" w:rsidRPr="001E04D7" w:rsidRDefault="0064626B" w:rsidP="001E04D7">
      <w:pPr>
        <w:pStyle w:val="ListParagraph"/>
        <w:widowControl w:val="0"/>
        <w:autoSpaceDE w:val="0"/>
        <w:autoSpaceDN w:val="0"/>
        <w:ind w:left="1440"/>
        <w:jc w:val="both"/>
        <w:rPr>
          <w:rFonts w:ascii="Arial" w:hAnsi="Arial" w:cs="Arial"/>
          <w:b/>
          <w:sz w:val="22"/>
          <w:szCs w:val="22"/>
          <w:lang w:val="en-GB"/>
        </w:rPr>
      </w:pPr>
    </w:p>
    <w:p w:rsidR="0064626B" w:rsidRPr="00D95A29" w:rsidRDefault="0064626B" w:rsidP="001E04D7">
      <w:pPr>
        <w:pStyle w:val="ListParagraph"/>
        <w:widowControl w:val="0"/>
        <w:autoSpaceDE w:val="0"/>
        <w:autoSpaceDN w:val="0"/>
        <w:ind w:left="1440"/>
        <w:jc w:val="both"/>
        <w:rPr>
          <w:rFonts w:ascii="Arial" w:hAnsi="Arial" w:cs="Arial"/>
          <w:sz w:val="22"/>
          <w:szCs w:val="22"/>
          <w:lang w:val="en-GB"/>
        </w:rPr>
      </w:pPr>
      <w:r w:rsidRPr="00D95A29">
        <w:rPr>
          <w:rFonts w:ascii="Arial" w:hAnsi="Arial" w:cs="Arial"/>
          <w:b/>
          <w:sz w:val="22"/>
          <w:szCs w:val="22"/>
          <w:u w:val="single"/>
          <w:lang w:val="en-GB"/>
        </w:rPr>
        <w:t xml:space="preserve">The description of the property which was published in the notices required by section 6(1) of the Act in the Quieting Title proceedings was so misleading that even when </w:t>
      </w:r>
      <w:proofErr w:type="spellStart"/>
      <w:r w:rsidRPr="00D95A29">
        <w:rPr>
          <w:rFonts w:ascii="Arial" w:hAnsi="Arial" w:cs="Arial"/>
          <w:b/>
          <w:sz w:val="22"/>
          <w:szCs w:val="22"/>
          <w:u w:val="single"/>
          <w:lang w:val="en-GB"/>
        </w:rPr>
        <w:t>Mr.</w:t>
      </w:r>
      <w:proofErr w:type="spellEnd"/>
      <w:r w:rsidRPr="00D95A29">
        <w:rPr>
          <w:rFonts w:ascii="Arial" w:hAnsi="Arial" w:cs="Arial"/>
          <w:b/>
          <w:sz w:val="22"/>
          <w:szCs w:val="22"/>
          <w:u w:val="single"/>
          <w:lang w:val="en-GB"/>
        </w:rPr>
        <w:t xml:space="preserve"> </w:t>
      </w:r>
      <w:proofErr w:type="spellStart"/>
      <w:r w:rsidRPr="00D95A29">
        <w:rPr>
          <w:rFonts w:ascii="Arial" w:hAnsi="Arial" w:cs="Arial"/>
          <w:b/>
          <w:sz w:val="22"/>
          <w:szCs w:val="22"/>
          <w:u w:val="single"/>
          <w:lang w:val="en-GB"/>
        </w:rPr>
        <w:t>Coakley</w:t>
      </w:r>
      <w:proofErr w:type="spellEnd"/>
      <w:r w:rsidRPr="00D95A29">
        <w:rPr>
          <w:rFonts w:ascii="Arial" w:hAnsi="Arial" w:cs="Arial"/>
          <w:b/>
          <w:sz w:val="22"/>
          <w:szCs w:val="22"/>
          <w:u w:val="single"/>
          <w:lang w:val="en-GB"/>
        </w:rPr>
        <w:t>, the president and director of the Respondent [Arawak Homes] was served with an interim injunction, he was unable to identify the land mentioned in the order of the court</w:t>
      </w:r>
      <w:r w:rsidRPr="001E04D7">
        <w:rPr>
          <w:rFonts w:ascii="Arial" w:hAnsi="Arial" w:cs="Arial"/>
          <w:b/>
          <w:sz w:val="22"/>
          <w:szCs w:val="22"/>
          <w:lang w:val="en-GB"/>
        </w:rPr>
        <w:t>…</w:t>
      </w:r>
      <w:proofErr w:type="gramStart"/>
      <w:r w:rsidRPr="001E04D7">
        <w:rPr>
          <w:rFonts w:ascii="Arial" w:hAnsi="Arial" w:cs="Arial"/>
          <w:b/>
          <w:sz w:val="22"/>
          <w:szCs w:val="22"/>
          <w:lang w:val="en-GB"/>
        </w:rPr>
        <w:t>.</w:t>
      </w:r>
      <w:r w:rsidR="00D95A29">
        <w:rPr>
          <w:rFonts w:ascii="Arial" w:hAnsi="Arial" w:cs="Arial"/>
          <w:sz w:val="22"/>
          <w:szCs w:val="22"/>
          <w:lang w:val="en-GB"/>
        </w:rPr>
        <w:t>[</w:t>
      </w:r>
      <w:proofErr w:type="gramEnd"/>
      <w:r w:rsidR="00D95A29">
        <w:rPr>
          <w:rFonts w:ascii="Arial" w:hAnsi="Arial" w:cs="Arial"/>
          <w:sz w:val="22"/>
          <w:szCs w:val="22"/>
          <w:lang w:val="en-GB"/>
        </w:rPr>
        <w:t>Emphasis added]</w:t>
      </w:r>
    </w:p>
    <w:p w:rsidR="0064626B" w:rsidRPr="001E04D7" w:rsidRDefault="0064626B" w:rsidP="001E04D7">
      <w:pPr>
        <w:pStyle w:val="ListParagraph"/>
        <w:widowControl w:val="0"/>
        <w:autoSpaceDE w:val="0"/>
        <w:autoSpaceDN w:val="0"/>
        <w:ind w:left="1440"/>
        <w:jc w:val="both"/>
        <w:rPr>
          <w:rFonts w:ascii="Arial" w:hAnsi="Arial" w:cs="Arial"/>
          <w:b/>
          <w:sz w:val="22"/>
          <w:szCs w:val="22"/>
          <w:lang w:val="en-GB"/>
        </w:rPr>
      </w:pPr>
    </w:p>
    <w:p w:rsidR="0064626B" w:rsidRPr="00D95A29" w:rsidRDefault="0064626B" w:rsidP="001E04D7">
      <w:pPr>
        <w:pStyle w:val="ListParagraph"/>
        <w:widowControl w:val="0"/>
        <w:autoSpaceDE w:val="0"/>
        <w:autoSpaceDN w:val="0"/>
        <w:ind w:left="1440"/>
        <w:jc w:val="both"/>
        <w:rPr>
          <w:rFonts w:ascii="Arial" w:hAnsi="Arial" w:cs="Arial"/>
          <w:sz w:val="22"/>
          <w:szCs w:val="22"/>
          <w:lang w:val="en-GB"/>
        </w:rPr>
      </w:pPr>
      <w:proofErr w:type="spellStart"/>
      <w:r w:rsidRPr="00D95A29">
        <w:rPr>
          <w:rFonts w:ascii="Arial" w:hAnsi="Arial" w:cs="Arial"/>
          <w:b/>
          <w:sz w:val="22"/>
          <w:szCs w:val="22"/>
          <w:u w:val="single"/>
          <w:lang w:val="en-GB"/>
        </w:rPr>
        <w:t>Mr.</w:t>
      </w:r>
      <w:proofErr w:type="spellEnd"/>
      <w:r w:rsidRPr="00D95A29">
        <w:rPr>
          <w:rFonts w:ascii="Arial" w:hAnsi="Arial" w:cs="Arial"/>
          <w:b/>
          <w:sz w:val="22"/>
          <w:szCs w:val="22"/>
          <w:u w:val="single"/>
          <w:lang w:val="en-GB"/>
        </w:rPr>
        <w:t xml:space="preserve"> </w:t>
      </w:r>
      <w:proofErr w:type="spellStart"/>
      <w:r w:rsidRPr="00D95A29">
        <w:rPr>
          <w:rFonts w:ascii="Arial" w:hAnsi="Arial" w:cs="Arial"/>
          <w:b/>
          <w:sz w:val="22"/>
          <w:szCs w:val="22"/>
          <w:u w:val="single"/>
          <w:lang w:val="en-GB"/>
        </w:rPr>
        <w:t>Chee</w:t>
      </w:r>
      <w:proofErr w:type="spellEnd"/>
      <w:r w:rsidRPr="00D95A29">
        <w:rPr>
          <w:rFonts w:ascii="Arial" w:hAnsi="Arial" w:cs="Arial"/>
          <w:b/>
          <w:sz w:val="22"/>
          <w:szCs w:val="22"/>
          <w:u w:val="single"/>
          <w:lang w:val="en-GB"/>
        </w:rPr>
        <w:t xml:space="preserve">-a-Tow’s evidence was that at the time of his survey in 1972, the disputed blocks were in fact virgin territory. This would clearly give a lie to </w:t>
      </w:r>
      <w:proofErr w:type="spellStart"/>
      <w:r w:rsidRPr="00D95A29">
        <w:rPr>
          <w:rFonts w:ascii="Arial" w:hAnsi="Arial" w:cs="Arial"/>
          <w:b/>
          <w:sz w:val="22"/>
          <w:szCs w:val="22"/>
          <w:u w:val="single"/>
          <w:lang w:val="en-GB"/>
        </w:rPr>
        <w:t>Mr.</w:t>
      </w:r>
      <w:proofErr w:type="spellEnd"/>
      <w:r w:rsidRPr="00D95A29">
        <w:rPr>
          <w:rFonts w:ascii="Arial" w:hAnsi="Arial" w:cs="Arial"/>
          <w:b/>
          <w:sz w:val="22"/>
          <w:szCs w:val="22"/>
          <w:u w:val="single"/>
          <w:lang w:val="en-GB"/>
        </w:rPr>
        <w:t xml:space="preserve"> Johnson’s evidence in the Quieting Title proceedings that he had cultivated the disputed blocks up until 1975.</w:t>
      </w:r>
      <w:r w:rsidRPr="001E04D7">
        <w:rPr>
          <w:rFonts w:ascii="Arial" w:hAnsi="Arial" w:cs="Arial"/>
          <w:b/>
          <w:sz w:val="22"/>
          <w:szCs w:val="22"/>
          <w:lang w:val="en-GB"/>
        </w:rPr>
        <w:t xml:space="preserve"> One would have some difficulty in accepting </w:t>
      </w:r>
      <w:proofErr w:type="spellStart"/>
      <w:r w:rsidRPr="00D95A29">
        <w:rPr>
          <w:rFonts w:ascii="Arial" w:hAnsi="Arial" w:cs="Arial"/>
          <w:b/>
          <w:sz w:val="22"/>
          <w:szCs w:val="22"/>
          <w:u w:val="single"/>
          <w:lang w:val="en-GB"/>
        </w:rPr>
        <w:t>Mr.</w:t>
      </w:r>
      <w:proofErr w:type="spellEnd"/>
      <w:r w:rsidRPr="00D95A29">
        <w:rPr>
          <w:rFonts w:ascii="Arial" w:hAnsi="Arial" w:cs="Arial"/>
          <w:b/>
          <w:sz w:val="22"/>
          <w:szCs w:val="22"/>
          <w:u w:val="single"/>
          <w:lang w:val="en-GB"/>
        </w:rPr>
        <w:t xml:space="preserve"> Johnson’s evidence (the proceedings in action No. 10 of 1982 were put in evidence before the trial judge in this action) that he had been cultivating some 500 acres, including the disputed lots from </w:t>
      </w:r>
      <w:r w:rsidRPr="00D95A29">
        <w:rPr>
          <w:rFonts w:ascii="Arial" w:hAnsi="Arial" w:cs="Arial"/>
          <w:b/>
          <w:sz w:val="22"/>
          <w:szCs w:val="22"/>
          <w:u w:val="single"/>
          <w:lang w:val="en-GB"/>
        </w:rPr>
        <w:lastRenderedPageBreak/>
        <w:t xml:space="preserve">1935 when he was a mere stripling  </w:t>
      </w:r>
      <w:r w:rsidR="001E04D7" w:rsidRPr="00D95A29">
        <w:rPr>
          <w:rFonts w:ascii="Arial" w:hAnsi="Arial" w:cs="Arial"/>
          <w:b/>
          <w:sz w:val="22"/>
          <w:szCs w:val="22"/>
          <w:u w:val="single"/>
          <w:lang w:val="en-GB"/>
        </w:rPr>
        <w:t xml:space="preserve">of approximately 10 or 12 years of age. These matters were all part of </w:t>
      </w:r>
      <w:proofErr w:type="spellStart"/>
      <w:r w:rsidR="001E04D7" w:rsidRPr="00D95A29">
        <w:rPr>
          <w:rFonts w:ascii="Arial" w:hAnsi="Arial" w:cs="Arial"/>
          <w:b/>
          <w:sz w:val="22"/>
          <w:szCs w:val="22"/>
          <w:u w:val="single"/>
          <w:lang w:val="en-GB"/>
        </w:rPr>
        <w:t>Mr.</w:t>
      </w:r>
      <w:proofErr w:type="spellEnd"/>
      <w:r w:rsidR="001E04D7" w:rsidRPr="00D95A29">
        <w:rPr>
          <w:rFonts w:ascii="Arial" w:hAnsi="Arial" w:cs="Arial"/>
          <w:b/>
          <w:sz w:val="22"/>
          <w:szCs w:val="22"/>
          <w:u w:val="single"/>
          <w:lang w:val="en-GB"/>
        </w:rPr>
        <w:t xml:space="preserve"> Johnson’s petition, so that he was most certainly aware of them, or presumed to be aware of them, they knowingly and deliberately misled the court in granting the certificate of title to him</w:t>
      </w:r>
      <w:r w:rsidR="001E04D7" w:rsidRPr="001E04D7">
        <w:rPr>
          <w:rFonts w:ascii="Arial" w:hAnsi="Arial" w:cs="Arial"/>
          <w:b/>
          <w:sz w:val="22"/>
          <w:szCs w:val="22"/>
          <w:lang w:val="en-GB"/>
        </w:rPr>
        <w:t>.”</w:t>
      </w:r>
      <w:r w:rsidR="00D95A29">
        <w:rPr>
          <w:rFonts w:ascii="Arial" w:hAnsi="Arial" w:cs="Arial"/>
          <w:sz w:val="22"/>
          <w:szCs w:val="22"/>
          <w:lang w:val="en-GB"/>
        </w:rPr>
        <w:t>[Emphasis added]</w:t>
      </w:r>
    </w:p>
    <w:p w:rsidR="00CF1732" w:rsidRPr="001E04D7" w:rsidRDefault="00CF1732" w:rsidP="00AF3FBA">
      <w:pPr>
        <w:pStyle w:val="ListParagraph"/>
        <w:spacing w:line="360" w:lineRule="auto"/>
        <w:rPr>
          <w:rFonts w:ascii="Arial" w:hAnsi="Arial" w:cs="Arial"/>
          <w:b/>
          <w:sz w:val="22"/>
          <w:szCs w:val="22"/>
          <w:lang w:val="en-GB"/>
        </w:rPr>
      </w:pPr>
    </w:p>
    <w:p w:rsidR="00D1455F" w:rsidRDefault="00D95A29" w:rsidP="00D1455F">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 xml:space="preserve">As </w:t>
      </w:r>
      <w:proofErr w:type="spellStart"/>
      <w:r>
        <w:rPr>
          <w:rFonts w:ascii="Arial" w:hAnsi="Arial" w:cs="Arial"/>
          <w:lang w:val="en-GB"/>
        </w:rPr>
        <w:t>G</w:t>
      </w:r>
      <w:r w:rsidR="001E04D7" w:rsidRPr="00AF3FBA">
        <w:rPr>
          <w:rFonts w:ascii="Arial" w:hAnsi="Arial" w:cs="Arial"/>
          <w:lang w:val="en-GB"/>
        </w:rPr>
        <w:t>onsalves-Sabola</w:t>
      </w:r>
      <w:proofErr w:type="spellEnd"/>
      <w:r w:rsidR="001E04D7" w:rsidRPr="00AF3FBA">
        <w:rPr>
          <w:rFonts w:ascii="Arial" w:hAnsi="Arial" w:cs="Arial"/>
          <w:lang w:val="en-GB"/>
        </w:rPr>
        <w:t xml:space="preserve"> J </w:t>
      </w:r>
      <w:r>
        <w:rPr>
          <w:rFonts w:ascii="Arial" w:hAnsi="Arial" w:cs="Arial"/>
          <w:lang w:val="en-GB"/>
        </w:rPr>
        <w:t xml:space="preserve">said, he </w:t>
      </w:r>
      <w:r w:rsidR="001E04D7" w:rsidRPr="00AF3FBA">
        <w:rPr>
          <w:rFonts w:ascii="Arial" w:hAnsi="Arial" w:cs="Arial"/>
          <w:lang w:val="en-GB"/>
        </w:rPr>
        <w:t>did not make a ruling on the validity of Thaddeus Johnson’s title be</w:t>
      </w:r>
      <w:r w:rsidR="00C93C04">
        <w:rPr>
          <w:rFonts w:ascii="Arial" w:hAnsi="Arial" w:cs="Arial"/>
          <w:lang w:val="en-GB"/>
        </w:rPr>
        <w:t xml:space="preserve">cause he was not a party to </w:t>
      </w:r>
      <w:r w:rsidR="00C93C04" w:rsidRPr="00A167F9">
        <w:rPr>
          <w:rFonts w:ascii="Arial" w:hAnsi="Arial" w:cs="Arial"/>
          <w:lang w:val="en-GB"/>
        </w:rPr>
        <w:t>Action No. 355 of 1985</w:t>
      </w:r>
      <w:r>
        <w:rPr>
          <w:rFonts w:ascii="Arial" w:hAnsi="Arial" w:cs="Arial"/>
          <w:lang w:val="en-GB"/>
        </w:rPr>
        <w:t xml:space="preserve"> and no order was sought against him</w:t>
      </w:r>
      <w:r w:rsidR="00C93C04">
        <w:rPr>
          <w:rFonts w:ascii="Arial" w:hAnsi="Arial" w:cs="Arial"/>
          <w:lang w:val="en-GB"/>
        </w:rPr>
        <w:t>.</w:t>
      </w:r>
    </w:p>
    <w:p w:rsidR="006F4599" w:rsidRDefault="006F4599" w:rsidP="00223CA9">
      <w:pPr>
        <w:pStyle w:val="ListParagraph"/>
        <w:widowControl w:val="0"/>
        <w:autoSpaceDE w:val="0"/>
        <w:autoSpaceDN w:val="0"/>
        <w:jc w:val="both"/>
        <w:rPr>
          <w:rFonts w:ascii="Arial" w:hAnsi="Arial" w:cs="Arial"/>
          <w:lang w:val="en-GB"/>
        </w:rPr>
      </w:pPr>
    </w:p>
    <w:p w:rsidR="00EC10A8" w:rsidRDefault="00A373EC" w:rsidP="006F4599">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On 20</w:t>
      </w:r>
      <w:r w:rsidR="00D1455F">
        <w:rPr>
          <w:rFonts w:ascii="Arial" w:hAnsi="Arial" w:cs="Arial"/>
          <w:lang w:val="en-GB"/>
        </w:rPr>
        <w:t xml:space="preserve"> May 1985, Arawak Homes instituted </w:t>
      </w:r>
      <w:r w:rsidR="006F4599">
        <w:rPr>
          <w:rFonts w:ascii="Arial" w:hAnsi="Arial" w:cs="Arial"/>
          <w:lang w:val="en-GB"/>
        </w:rPr>
        <w:t>the present act</w:t>
      </w:r>
      <w:r w:rsidR="00C93C04">
        <w:rPr>
          <w:rFonts w:ascii="Arial" w:hAnsi="Arial" w:cs="Arial"/>
          <w:lang w:val="en-GB"/>
        </w:rPr>
        <w:t>ion. For present purposes, the court is only concerned</w:t>
      </w:r>
      <w:r w:rsidR="006F4599">
        <w:rPr>
          <w:rFonts w:ascii="Arial" w:hAnsi="Arial" w:cs="Arial"/>
          <w:lang w:val="en-GB"/>
        </w:rPr>
        <w:t xml:space="preserve"> with the 2</w:t>
      </w:r>
      <w:r w:rsidR="006F4599" w:rsidRPr="006F4599">
        <w:rPr>
          <w:rFonts w:ascii="Arial" w:hAnsi="Arial" w:cs="Arial"/>
          <w:vertAlign w:val="superscript"/>
          <w:lang w:val="en-GB"/>
        </w:rPr>
        <w:t>nd</w:t>
      </w:r>
      <w:r w:rsidR="006F4599">
        <w:rPr>
          <w:rFonts w:ascii="Arial" w:hAnsi="Arial" w:cs="Arial"/>
          <w:lang w:val="en-GB"/>
        </w:rPr>
        <w:t xml:space="preserve"> Defendant. </w:t>
      </w:r>
      <w:r w:rsidR="00A3580F">
        <w:rPr>
          <w:rFonts w:ascii="Arial" w:hAnsi="Arial" w:cs="Arial"/>
          <w:lang w:val="en-GB"/>
        </w:rPr>
        <w:t>Arawak Homes seeks to have the certificate of t</w:t>
      </w:r>
      <w:r w:rsidR="006F4599">
        <w:rPr>
          <w:rFonts w:ascii="Arial" w:hAnsi="Arial" w:cs="Arial"/>
          <w:lang w:val="en-GB"/>
        </w:rPr>
        <w:t xml:space="preserve">itle granted to </w:t>
      </w:r>
      <w:proofErr w:type="spellStart"/>
      <w:r w:rsidR="006F4599">
        <w:rPr>
          <w:rFonts w:ascii="Arial" w:hAnsi="Arial" w:cs="Arial"/>
          <w:lang w:val="en-GB"/>
        </w:rPr>
        <w:t>Eleaz</w:t>
      </w:r>
      <w:r w:rsidR="00AC7DB4">
        <w:rPr>
          <w:rFonts w:ascii="Arial" w:hAnsi="Arial" w:cs="Arial"/>
          <w:lang w:val="en-GB"/>
        </w:rPr>
        <w:t>o</w:t>
      </w:r>
      <w:r w:rsidR="006F4599">
        <w:rPr>
          <w:rFonts w:ascii="Arial" w:hAnsi="Arial" w:cs="Arial"/>
          <w:lang w:val="en-GB"/>
        </w:rPr>
        <w:t>r</w:t>
      </w:r>
      <w:proofErr w:type="spellEnd"/>
      <w:r w:rsidR="006F4599">
        <w:rPr>
          <w:rFonts w:ascii="Arial" w:hAnsi="Arial" w:cs="Arial"/>
          <w:lang w:val="en-GB"/>
        </w:rPr>
        <w:t xml:space="preserve"> Ferguson </w:t>
      </w:r>
      <w:r w:rsidR="00EC10A8">
        <w:rPr>
          <w:rFonts w:ascii="Arial" w:hAnsi="Arial" w:cs="Arial"/>
          <w:lang w:val="en-GB"/>
        </w:rPr>
        <w:t>on 28 January 1985 by the Supreme Court in the same action with respect to Blocks 89, 90, 91, 94, 127, 135, 136, and 1</w:t>
      </w:r>
      <w:r w:rsidR="00A05C6A">
        <w:rPr>
          <w:rFonts w:ascii="Arial" w:hAnsi="Arial" w:cs="Arial"/>
          <w:lang w:val="en-GB"/>
        </w:rPr>
        <w:t>6</w:t>
      </w:r>
      <w:r w:rsidR="00EC10A8">
        <w:rPr>
          <w:rFonts w:ascii="Arial" w:hAnsi="Arial" w:cs="Arial"/>
          <w:lang w:val="en-GB"/>
        </w:rPr>
        <w:t xml:space="preserve">4  as identified on the 1926 plan aforesaid </w:t>
      </w:r>
      <w:r w:rsidR="006F4599">
        <w:rPr>
          <w:rFonts w:ascii="Arial" w:hAnsi="Arial" w:cs="Arial"/>
          <w:lang w:val="en-GB"/>
        </w:rPr>
        <w:t>set aside.</w:t>
      </w:r>
    </w:p>
    <w:p w:rsidR="00EC10A8" w:rsidRPr="00053ACE" w:rsidRDefault="00EC10A8" w:rsidP="00223CA9">
      <w:pPr>
        <w:widowControl w:val="0"/>
        <w:autoSpaceDE w:val="0"/>
        <w:autoSpaceDN w:val="0"/>
        <w:jc w:val="both"/>
        <w:rPr>
          <w:rFonts w:ascii="Arial" w:hAnsi="Arial" w:cs="Arial"/>
          <w:lang w:val="en-GB"/>
        </w:rPr>
      </w:pPr>
      <w:r w:rsidRPr="00D1455F">
        <w:rPr>
          <w:rFonts w:ascii="Arial" w:hAnsi="Arial" w:cs="Arial"/>
          <w:lang w:val="en-GB"/>
        </w:rPr>
        <w:t xml:space="preserve"> </w:t>
      </w:r>
    </w:p>
    <w:p w:rsidR="00D8583C" w:rsidRDefault="00AF3FBA" w:rsidP="00AF3FBA">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By its Re-A</w:t>
      </w:r>
      <w:r w:rsidR="00053ACE">
        <w:rPr>
          <w:rFonts w:ascii="Arial" w:hAnsi="Arial" w:cs="Arial"/>
          <w:lang w:val="en-GB"/>
        </w:rPr>
        <w:t xml:space="preserve">mended Statement of Claim filed on 21 May 1986, Arawak Homes alleged at </w:t>
      </w:r>
      <w:r w:rsidR="00223CA9">
        <w:rPr>
          <w:rFonts w:ascii="Arial" w:hAnsi="Arial" w:cs="Arial"/>
          <w:lang w:val="en-GB"/>
        </w:rPr>
        <w:t>paragraph 14 that the Ferguson certificate of t</w:t>
      </w:r>
      <w:r w:rsidR="00053ACE">
        <w:rPr>
          <w:rFonts w:ascii="Arial" w:hAnsi="Arial" w:cs="Arial"/>
          <w:lang w:val="en-GB"/>
        </w:rPr>
        <w:t xml:space="preserve">itle was obtained fraudulently or by falsehood. </w:t>
      </w:r>
      <w:r w:rsidR="00532806" w:rsidRPr="00D16FCC">
        <w:rPr>
          <w:rFonts w:ascii="Arial" w:hAnsi="Arial" w:cs="Arial"/>
          <w:lang w:val="en-GB"/>
        </w:rPr>
        <w:t xml:space="preserve">The particulars of fraud are set out in paragraph 14 </w:t>
      </w:r>
      <w:r w:rsidR="00686727">
        <w:rPr>
          <w:rFonts w:ascii="Arial" w:hAnsi="Arial" w:cs="Arial"/>
          <w:lang w:val="en-GB"/>
        </w:rPr>
        <w:t>(</w:t>
      </w:r>
      <w:proofErr w:type="spellStart"/>
      <w:r w:rsidR="00532806" w:rsidRPr="00D16FCC">
        <w:rPr>
          <w:rFonts w:ascii="Arial" w:hAnsi="Arial" w:cs="Arial"/>
          <w:lang w:val="en-GB"/>
        </w:rPr>
        <w:t>i</w:t>
      </w:r>
      <w:proofErr w:type="spellEnd"/>
      <w:r w:rsidR="00686727">
        <w:rPr>
          <w:rFonts w:ascii="Arial" w:hAnsi="Arial" w:cs="Arial"/>
          <w:lang w:val="en-GB"/>
        </w:rPr>
        <w:t>)</w:t>
      </w:r>
      <w:r w:rsidR="00532806" w:rsidRPr="00D16FCC">
        <w:rPr>
          <w:rFonts w:ascii="Arial" w:hAnsi="Arial" w:cs="Arial"/>
          <w:lang w:val="en-GB"/>
        </w:rPr>
        <w:t>-</w:t>
      </w:r>
      <w:r w:rsidR="00686727">
        <w:rPr>
          <w:rFonts w:ascii="Arial" w:hAnsi="Arial" w:cs="Arial"/>
          <w:lang w:val="en-GB"/>
        </w:rPr>
        <w:t>(</w:t>
      </w:r>
      <w:proofErr w:type="gramStart"/>
      <w:r w:rsidR="00532806" w:rsidRPr="00D16FCC">
        <w:rPr>
          <w:rFonts w:ascii="Arial" w:hAnsi="Arial" w:cs="Arial"/>
          <w:lang w:val="en-GB"/>
        </w:rPr>
        <w:t>iv</w:t>
      </w:r>
      <w:proofErr w:type="gramEnd"/>
      <w:r w:rsidR="00686727">
        <w:rPr>
          <w:rFonts w:ascii="Arial" w:hAnsi="Arial" w:cs="Arial"/>
          <w:lang w:val="en-GB"/>
        </w:rPr>
        <w:t>)</w:t>
      </w:r>
      <w:r w:rsidR="00A373EC">
        <w:rPr>
          <w:rFonts w:ascii="Arial" w:hAnsi="Arial" w:cs="Arial"/>
          <w:lang w:val="en-GB"/>
        </w:rPr>
        <w:t xml:space="preserve"> of the Re-A</w:t>
      </w:r>
      <w:r w:rsidR="00532806" w:rsidRPr="00D16FCC">
        <w:rPr>
          <w:rFonts w:ascii="Arial" w:hAnsi="Arial" w:cs="Arial"/>
          <w:lang w:val="en-GB"/>
        </w:rPr>
        <w:t>mended St</w:t>
      </w:r>
      <w:r w:rsidR="00615E9B" w:rsidRPr="00D16FCC">
        <w:rPr>
          <w:rFonts w:ascii="Arial" w:hAnsi="Arial" w:cs="Arial"/>
          <w:lang w:val="en-GB"/>
        </w:rPr>
        <w:t>atement of Claim</w:t>
      </w:r>
      <w:r>
        <w:rPr>
          <w:rFonts w:ascii="Arial" w:hAnsi="Arial" w:cs="Arial"/>
          <w:lang w:val="en-GB"/>
        </w:rPr>
        <w:t xml:space="preserve">. </w:t>
      </w:r>
    </w:p>
    <w:p w:rsidR="00AF3FBA" w:rsidRDefault="00AF3FBA" w:rsidP="00724863">
      <w:pPr>
        <w:pStyle w:val="ListParagraph"/>
        <w:widowControl w:val="0"/>
        <w:autoSpaceDE w:val="0"/>
        <w:autoSpaceDN w:val="0"/>
        <w:jc w:val="both"/>
        <w:rPr>
          <w:rFonts w:ascii="Arial" w:hAnsi="Arial" w:cs="Arial"/>
          <w:lang w:val="en-GB"/>
        </w:rPr>
      </w:pPr>
    </w:p>
    <w:p w:rsidR="00AF3FBA" w:rsidRPr="00A373EC" w:rsidRDefault="001641A2" w:rsidP="00A373EC">
      <w:pPr>
        <w:pStyle w:val="ListParagraph"/>
        <w:widowControl w:val="0"/>
        <w:numPr>
          <w:ilvl w:val="0"/>
          <w:numId w:val="2"/>
        </w:numPr>
        <w:autoSpaceDE w:val="0"/>
        <w:autoSpaceDN w:val="0"/>
        <w:spacing w:line="360" w:lineRule="auto"/>
        <w:jc w:val="both"/>
        <w:rPr>
          <w:rFonts w:ascii="Arial" w:hAnsi="Arial" w:cs="Arial"/>
          <w:lang w:val="en-GB"/>
        </w:rPr>
      </w:pPr>
      <w:proofErr w:type="spellStart"/>
      <w:r>
        <w:rPr>
          <w:rFonts w:ascii="Arial" w:hAnsi="Arial" w:cs="Arial"/>
          <w:lang w:val="en-GB"/>
        </w:rPr>
        <w:t>Eleazo</w:t>
      </w:r>
      <w:r w:rsidR="00615E9B">
        <w:rPr>
          <w:rFonts w:ascii="Arial" w:hAnsi="Arial" w:cs="Arial"/>
          <w:lang w:val="en-GB"/>
        </w:rPr>
        <w:t>r</w:t>
      </w:r>
      <w:proofErr w:type="spellEnd"/>
      <w:r w:rsidR="00615E9B">
        <w:rPr>
          <w:rFonts w:ascii="Arial" w:hAnsi="Arial" w:cs="Arial"/>
          <w:lang w:val="en-GB"/>
        </w:rPr>
        <w:t xml:space="preserve"> Ferguson </w:t>
      </w:r>
      <w:r w:rsidR="00686727">
        <w:rPr>
          <w:rFonts w:ascii="Arial" w:hAnsi="Arial" w:cs="Arial"/>
          <w:lang w:val="en-GB"/>
        </w:rPr>
        <w:t>filed an Amended Defence with Thaddeus John</w:t>
      </w:r>
      <w:r w:rsidR="00686727" w:rsidRPr="00A373EC">
        <w:rPr>
          <w:rFonts w:ascii="Arial" w:hAnsi="Arial" w:cs="Arial"/>
          <w:lang w:val="en-GB"/>
        </w:rPr>
        <w:t xml:space="preserve">son on 10 February 1986. He did not </w:t>
      </w:r>
      <w:r w:rsidR="00BF30E1" w:rsidRPr="00A373EC">
        <w:rPr>
          <w:rFonts w:ascii="Arial" w:hAnsi="Arial" w:cs="Arial"/>
          <w:lang w:val="en-GB"/>
        </w:rPr>
        <w:t xml:space="preserve">file a </w:t>
      </w:r>
      <w:r w:rsidR="00686727" w:rsidRPr="00A373EC">
        <w:rPr>
          <w:rFonts w:ascii="Arial" w:hAnsi="Arial" w:cs="Arial"/>
          <w:lang w:val="en-GB"/>
        </w:rPr>
        <w:t xml:space="preserve">Re-Amended </w:t>
      </w:r>
      <w:r w:rsidR="00BF30E1" w:rsidRPr="00A373EC">
        <w:rPr>
          <w:rFonts w:ascii="Arial" w:hAnsi="Arial" w:cs="Arial"/>
          <w:lang w:val="en-GB"/>
        </w:rPr>
        <w:t>Defence to the Re-Amended Statement of Claim</w:t>
      </w:r>
      <w:r w:rsidR="00686727" w:rsidRPr="00A373EC">
        <w:rPr>
          <w:rFonts w:ascii="Arial" w:hAnsi="Arial" w:cs="Arial"/>
          <w:lang w:val="en-GB"/>
        </w:rPr>
        <w:t xml:space="preserve">. </w:t>
      </w:r>
      <w:r w:rsidR="00AF3FBA" w:rsidRPr="00A373EC">
        <w:rPr>
          <w:rFonts w:ascii="Arial" w:hAnsi="Arial" w:cs="Arial"/>
          <w:lang w:val="en-GB"/>
        </w:rPr>
        <w:t>I agree with learned</w:t>
      </w:r>
      <w:r w:rsidR="00C8460A">
        <w:rPr>
          <w:rFonts w:ascii="Arial" w:hAnsi="Arial" w:cs="Arial"/>
          <w:lang w:val="en-GB"/>
        </w:rPr>
        <w:t xml:space="preserve"> Counsel </w:t>
      </w:r>
      <w:proofErr w:type="spellStart"/>
      <w:r w:rsidR="00C8460A">
        <w:rPr>
          <w:rFonts w:ascii="Arial" w:hAnsi="Arial" w:cs="Arial"/>
          <w:lang w:val="en-GB"/>
        </w:rPr>
        <w:t>Mr.</w:t>
      </w:r>
      <w:proofErr w:type="spellEnd"/>
      <w:r w:rsidR="00C8460A">
        <w:rPr>
          <w:rFonts w:ascii="Arial" w:hAnsi="Arial" w:cs="Arial"/>
          <w:lang w:val="en-GB"/>
        </w:rPr>
        <w:t xml:space="preserve"> Martin that if the </w:t>
      </w:r>
      <w:r w:rsidR="00AF3FBA" w:rsidRPr="00A373EC">
        <w:rPr>
          <w:rFonts w:ascii="Arial" w:hAnsi="Arial" w:cs="Arial"/>
          <w:lang w:val="en-GB"/>
        </w:rPr>
        <w:t xml:space="preserve">amendments </w:t>
      </w:r>
      <w:r w:rsidR="00686727" w:rsidRPr="00A373EC">
        <w:rPr>
          <w:rFonts w:ascii="Arial" w:hAnsi="Arial" w:cs="Arial"/>
          <w:lang w:val="en-GB"/>
        </w:rPr>
        <w:t>are</w:t>
      </w:r>
      <w:r w:rsidR="00AF3FBA" w:rsidRPr="00A373EC">
        <w:rPr>
          <w:rFonts w:ascii="Arial" w:hAnsi="Arial" w:cs="Arial"/>
          <w:lang w:val="en-GB"/>
        </w:rPr>
        <w:t xml:space="preserve"> classified as minor or not new, a defendant does not have to respond to every minor amendment</w:t>
      </w:r>
      <w:r w:rsidR="00686727" w:rsidRPr="00A373EC">
        <w:rPr>
          <w:rFonts w:ascii="Arial" w:hAnsi="Arial" w:cs="Arial"/>
          <w:lang w:val="en-GB"/>
        </w:rPr>
        <w:t>/s to a plaintiff’s re-amended statement of c</w:t>
      </w:r>
      <w:r w:rsidR="00AF3FBA" w:rsidRPr="00A373EC">
        <w:rPr>
          <w:rFonts w:ascii="Arial" w:hAnsi="Arial" w:cs="Arial"/>
          <w:lang w:val="en-GB"/>
        </w:rPr>
        <w:t>laim: see Order 20 r 3(6) of the Rules of the Supreme Court (“RSC”).</w:t>
      </w:r>
      <w:r w:rsidR="00686727" w:rsidRPr="00A373EC">
        <w:rPr>
          <w:rFonts w:ascii="Arial" w:hAnsi="Arial" w:cs="Arial"/>
          <w:lang w:val="en-GB"/>
        </w:rPr>
        <w:t xml:space="preserve"> </w:t>
      </w:r>
    </w:p>
    <w:p w:rsidR="00AF3FBA" w:rsidRDefault="00AF3FBA" w:rsidP="00724863">
      <w:pPr>
        <w:pStyle w:val="ListParagraph"/>
        <w:widowControl w:val="0"/>
        <w:autoSpaceDE w:val="0"/>
        <w:autoSpaceDN w:val="0"/>
        <w:jc w:val="both"/>
        <w:rPr>
          <w:rFonts w:ascii="Arial" w:hAnsi="Arial" w:cs="Arial"/>
          <w:lang w:val="en-GB"/>
        </w:rPr>
      </w:pPr>
    </w:p>
    <w:p w:rsidR="00B939D0" w:rsidRDefault="00812785" w:rsidP="00D1455F">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Trial of the present action was begun before Allen J</w:t>
      </w:r>
      <w:r w:rsidR="00B939D0">
        <w:rPr>
          <w:rFonts w:ascii="Arial" w:hAnsi="Arial" w:cs="Arial"/>
          <w:lang w:val="en-GB"/>
        </w:rPr>
        <w:t>.</w:t>
      </w:r>
      <w:r>
        <w:rPr>
          <w:rFonts w:ascii="Arial" w:hAnsi="Arial" w:cs="Arial"/>
          <w:lang w:val="en-GB"/>
        </w:rPr>
        <w:t xml:space="preserve"> </w:t>
      </w:r>
      <w:r w:rsidR="00B939D0">
        <w:rPr>
          <w:rFonts w:ascii="Arial" w:hAnsi="Arial" w:cs="Arial"/>
          <w:lang w:val="en-GB"/>
        </w:rPr>
        <w:t>[as she then was]</w:t>
      </w:r>
      <w:r w:rsidR="00A43755">
        <w:rPr>
          <w:rFonts w:ascii="Arial" w:hAnsi="Arial" w:cs="Arial"/>
          <w:lang w:val="en-GB"/>
        </w:rPr>
        <w:t xml:space="preserve"> on 8 and 9 February 2001</w:t>
      </w:r>
      <w:r w:rsidR="00C8460A">
        <w:rPr>
          <w:rFonts w:ascii="Arial" w:hAnsi="Arial" w:cs="Arial"/>
          <w:lang w:val="en-GB"/>
        </w:rPr>
        <w:t>.</w:t>
      </w:r>
      <w:r w:rsidR="00B939D0">
        <w:rPr>
          <w:rFonts w:ascii="Arial" w:hAnsi="Arial" w:cs="Arial"/>
          <w:lang w:val="en-GB"/>
        </w:rPr>
        <w:t xml:space="preserve"> Before the trial even got off the ground, the Defendants raise</w:t>
      </w:r>
      <w:r w:rsidR="004C657E">
        <w:rPr>
          <w:rFonts w:ascii="Arial" w:hAnsi="Arial" w:cs="Arial"/>
          <w:lang w:val="en-GB"/>
        </w:rPr>
        <w:t>d</w:t>
      </w:r>
      <w:r w:rsidR="00B939D0">
        <w:rPr>
          <w:rFonts w:ascii="Arial" w:hAnsi="Arial" w:cs="Arial"/>
          <w:lang w:val="en-GB"/>
        </w:rPr>
        <w:t xml:space="preserve"> two </w:t>
      </w:r>
      <w:r w:rsidR="004C657E">
        <w:rPr>
          <w:rFonts w:ascii="Arial" w:hAnsi="Arial" w:cs="Arial"/>
          <w:lang w:val="en-GB"/>
        </w:rPr>
        <w:t xml:space="preserve">points </w:t>
      </w:r>
      <w:r w:rsidR="004C657E" w:rsidRPr="004C657E">
        <w:rPr>
          <w:rFonts w:ascii="Arial" w:hAnsi="Arial" w:cs="Arial"/>
          <w:i/>
          <w:lang w:val="en-GB"/>
        </w:rPr>
        <w:t xml:space="preserve">in </w:t>
      </w:r>
      <w:proofErr w:type="spellStart"/>
      <w:r w:rsidR="004C657E" w:rsidRPr="004C657E">
        <w:rPr>
          <w:rFonts w:ascii="Arial" w:hAnsi="Arial" w:cs="Arial"/>
          <w:i/>
          <w:lang w:val="en-GB"/>
        </w:rPr>
        <w:t>limine</w:t>
      </w:r>
      <w:proofErr w:type="spellEnd"/>
      <w:r w:rsidR="004C657E">
        <w:rPr>
          <w:rFonts w:ascii="Arial" w:hAnsi="Arial" w:cs="Arial"/>
          <w:lang w:val="en-GB"/>
        </w:rPr>
        <w:t xml:space="preserve"> </w:t>
      </w:r>
      <w:r w:rsidR="008F29EA">
        <w:rPr>
          <w:rFonts w:ascii="Arial" w:hAnsi="Arial" w:cs="Arial"/>
          <w:lang w:val="en-GB"/>
        </w:rPr>
        <w:t>nam</w:t>
      </w:r>
      <w:r w:rsidR="00B939D0">
        <w:rPr>
          <w:rFonts w:ascii="Arial" w:hAnsi="Arial" w:cs="Arial"/>
          <w:lang w:val="en-GB"/>
        </w:rPr>
        <w:t>ely (</w:t>
      </w:r>
      <w:proofErr w:type="spellStart"/>
      <w:r w:rsidR="00B939D0">
        <w:rPr>
          <w:rFonts w:ascii="Arial" w:hAnsi="Arial" w:cs="Arial"/>
          <w:lang w:val="en-GB"/>
        </w:rPr>
        <w:t>i</w:t>
      </w:r>
      <w:proofErr w:type="spellEnd"/>
      <w:r w:rsidR="00B939D0">
        <w:rPr>
          <w:rFonts w:ascii="Arial" w:hAnsi="Arial" w:cs="Arial"/>
          <w:lang w:val="en-GB"/>
        </w:rPr>
        <w:t xml:space="preserve">) whether Arawak Homes has </w:t>
      </w:r>
      <w:r w:rsidR="00B939D0" w:rsidRPr="00B939D0">
        <w:rPr>
          <w:rFonts w:ascii="Arial" w:hAnsi="Arial" w:cs="Arial"/>
          <w:i/>
          <w:lang w:val="en-GB"/>
        </w:rPr>
        <w:t xml:space="preserve">locus </w:t>
      </w:r>
      <w:proofErr w:type="spellStart"/>
      <w:r w:rsidR="00B939D0" w:rsidRPr="00B939D0">
        <w:rPr>
          <w:rFonts w:ascii="Arial" w:hAnsi="Arial" w:cs="Arial"/>
          <w:i/>
          <w:lang w:val="en-GB"/>
        </w:rPr>
        <w:t>standi</w:t>
      </w:r>
      <w:proofErr w:type="spellEnd"/>
      <w:r w:rsidR="00B939D0">
        <w:rPr>
          <w:rFonts w:ascii="Arial" w:hAnsi="Arial" w:cs="Arial"/>
          <w:lang w:val="en-GB"/>
        </w:rPr>
        <w:t xml:space="preserve"> to bring the present action and; (ii) whether, given the judgment in Action No. 355 of 1985, the doctrine of </w:t>
      </w:r>
      <w:r w:rsidR="00B939D0">
        <w:rPr>
          <w:rFonts w:ascii="Arial" w:hAnsi="Arial" w:cs="Arial"/>
          <w:i/>
          <w:lang w:val="en-GB"/>
        </w:rPr>
        <w:t>res judicata</w:t>
      </w:r>
      <w:r w:rsidR="00B939D0">
        <w:rPr>
          <w:rFonts w:ascii="Arial" w:hAnsi="Arial" w:cs="Arial"/>
          <w:lang w:val="en-GB"/>
        </w:rPr>
        <w:t xml:space="preserve"> estops Arawak Homes from maintaining the action. On 20 April 2004, </w:t>
      </w:r>
      <w:r w:rsidR="00A43755">
        <w:rPr>
          <w:rFonts w:ascii="Arial" w:hAnsi="Arial" w:cs="Arial"/>
          <w:lang w:val="en-GB"/>
        </w:rPr>
        <w:t xml:space="preserve">Allen J. </w:t>
      </w:r>
      <w:r w:rsidR="00B939D0">
        <w:rPr>
          <w:rFonts w:ascii="Arial" w:hAnsi="Arial" w:cs="Arial"/>
          <w:lang w:val="en-GB"/>
        </w:rPr>
        <w:t xml:space="preserve">dismissed the Defendants’ application on the preliminary issues and </w:t>
      </w:r>
      <w:r w:rsidR="00F052F2">
        <w:rPr>
          <w:rFonts w:ascii="Arial" w:hAnsi="Arial" w:cs="Arial"/>
          <w:lang w:val="en-GB"/>
        </w:rPr>
        <w:t xml:space="preserve">ordered that trial of the </w:t>
      </w:r>
      <w:r w:rsidR="00B939D0">
        <w:rPr>
          <w:rFonts w:ascii="Arial" w:hAnsi="Arial" w:cs="Arial"/>
          <w:lang w:val="en-GB"/>
        </w:rPr>
        <w:t>substantive issue</w:t>
      </w:r>
      <w:r w:rsidR="00F052F2">
        <w:rPr>
          <w:rFonts w:ascii="Arial" w:hAnsi="Arial" w:cs="Arial"/>
          <w:lang w:val="en-GB"/>
        </w:rPr>
        <w:t xml:space="preserve"> ought to </w:t>
      </w:r>
      <w:r w:rsidR="00F052F2">
        <w:rPr>
          <w:rFonts w:ascii="Arial" w:hAnsi="Arial" w:cs="Arial"/>
          <w:lang w:val="en-GB"/>
        </w:rPr>
        <w:lastRenderedPageBreak/>
        <w:t>proceed</w:t>
      </w:r>
      <w:r w:rsidR="00B939D0">
        <w:rPr>
          <w:rFonts w:ascii="Arial" w:hAnsi="Arial" w:cs="Arial"/>
          <w:lang w:val="en-GB"/>
        </w:rPr>
        <w:t>.</w:t>
      </w:r>
      <w:r w:rsidR="00A43755">
        <w:rPr>
          <w:rFonts w:ascii="Arial" w:hAnsi="Arial" w:cs="Arial"/>
          <w:lang w:val="en-GB"/>
        </w:rPr>
        <w:t xml:space="preserve"> </w:t>
      </w:r>
    </w:p>
    <w:p w:rsidR="00A43755" w:rsidRPr="00A43755" w:rsidRDefault="00A43755" w:rsidP="00724863">
      <w:pPr>
        <w:pStyle w:val="ListParagraph"/>
        <w:rPr>
          <w:rFonts w:ascii="Arial" w:hAnsi="Arial" w:cs="Arial"/>
          <w:lang w:val="en-GB"/>
        </w:rPr>
      </w:pPr>
    </w:p>
    <w:p w:rsidR="00A43755" w:rsidRPr="006862B0" w:rsidRDefault="006862B0" w:rsidP="00D1455F">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 xml:space="preserve">In 2010, the substantive action was assigned to </w:t>
      </w:r>
      <w:proofErr w:type="spellStart"/>
      <w:r>
        <w:rPr>
          <w:rFonts w:ascii="Arial" w:hAnsi="Arial" w:cs="Arial"/>
          <w:lang w:val="en-GB"/>
        </w:rPr>
        <w:t>Adderley</w:t>
      </w:r>
      <w:proofErr w:type="spellEnd"/>
      <w:r>
        <w:rPr>
          <w:rFonts w:ascii="Arial" w:hAnsi="Arial" w:cs="Arial"/>
          <w:lang w:val="en-GB"/>
        </w:rPr>
        <w:t xml:space="preserve"> J</w:t>
      </w:r>
      <w:r w:rsidR="00F4030E">
        <w:rPr>
          <w:rFonts w:ascii="Arial" w:hAnsi="Arial" w:cs="Arial"/>
          <w:lang w:val="en-GB"/>
        </w:rPr>
        <w:t xml:space="preserve"> [as he then was]</w:t>
      </w:r>
      <w:r>
        <w:rPr>
          <w:rFonts w:ascii="Arial" w:hAnsi="Arial" w:cs="Arial"/>
          <w:lang w:val="en-GB"/>
        </w:rPr>
        <w:t>. At a directions hearing held on 12 November 2010, a trial date was fixed for 11 February 2011</w:t>
      </w:r>
      <w:r w:rsidR="00E26F7E">
        <w:rPr>
          <w:rFonts w:ascii="Arial" w:hAnsi="Arial" w:cs="Arial"/>
          <w:lang w:val="en-GB"/>
        </w:rPr>
        <w:t xml:space="preserve"> and the learned judge ordered that </w:t>
      </w:r>
      <w:r w:rsidR="00E26F7E" w:rsidRPr="00B828E6">
        <w:rPr>
          <w:rFonts w:ascii="Arial" w:hAnsi="Arial" w:cs="Arial"/>
          <w:b/>
          <w:lang w:val="en-GB"/>
        </w:rPr>
        <w:t>the trial be heard on submissions</w:t>
      </w:r>
      <w:r w:rsidR="00E26F7E">
        <w:rPr>
          <w:rFonts w:ascii="Arial" w:hAnsi="Arial" w:cs="Arial"/>
          <w:lang w:val="en-GB"/>
        </w:rPr>
        <w:t xml:space="preserve">: </w:t>
      </w:r>
      <w:r w:rsidR="00F4030E">
        <w:rPr>
          <w:rFonts w:ascii="Arial" w:hAnsi="Arial" w:cs="Arial"/>
          <w:lang w:val="en-GB"/>
        </w:rPr>
        <w:t xml:space="preserve">paragraph 38 of the decision of </w:t>
      </w:r>
      <w:proofErr w:type="spellStart"/>
      <w:r w:rsidR="00F4030E">
        <w:rPr>
          <w:rFonts w:ascii="Arial" w:hAnsi="Arial" w:cs="Arial"/>
          <w:lang w:val="en-GB"/>
        </w:rPr>
        <w:t>Adderley</w:t>
      </w:r>
      <w:proofErr w:type="spellEnd"/>
      <w:r w:rsidR="00F4030E">
        <w:rPr>
          <w:rFonts w:ascii="Arial" w:hAnsi="Arial" w:cs="Arial"/>
          <w:lang w:val="en-GB"/>
        </w:rPr>
        <w:t xml:space="preserve"> J delivered on 29 July 2011</w:t>
      </w:r>
      <w:r w:rsidR="00D57F8D">
        <w:rPr>
          <w:rFonts w:ascii="Arial" w:hAnsi="Arial" w:cs="Arial"/>
          <w:lang w:val="en-GB"/>
        </w:rPr>
        <w:t xml:space="preserve"> (</w:t>
      </w:r>
      <w:r w:rsidR="00E92960">
        <w:rPr>
          <w:rFonts w:ascii="Arial" w:hAnsi="Arial" w:cs="Arial"/>
          <w:lang w:val="en-GB"/>
        </w:rPr>
        <w:t>“</w:t>
      </w:r>
      <w:proofErr w:type="spellStart"/>
      <w:r w:rsidR="00D57F8D">
        <w:rPr>
          <w:rFonts w:ascii="Arial" w:hAnsi="Arial" w:cs="Arial"/>
          <w:lang w:val="en-GB"/>
        </w:rPr>
        <w:t>Adderley</w:t>
      </w:r>
      <w:proofErr w:type="spellEnd"/>
      <w:r w:rsidR="00D57F8D">
        <w:rPr>
          <w:rFonts w:ascii="Arial" w:hAnsi="Arial" w:cs="Arial"/>
          <w:lang w:val="en-GB"/>
        </w:rPr>
        <w:t xml:space="preserve"> J’s judgment”)</w:t>
      </w:r>
      <w:r w:rsidR="00F4030E">
        <w:rPr>
          <w:rFonts w:ascii="Arial" w:hAnsi="Arial" w:cs="Arial"/>
          <w:lang w:val="en-GB"/>
        </w:rPr>
        <w:t xml:space="preserve">. On 11 February 2011, </w:t>
      </w:r>
      <w:proofErr w:type="spellStart"/>
      <w:r w:rsidR="00F4030E">
        <w:rPr>
          <w:rFonts w:ascii="Arial" w:hAnsi="Arial" w:cs="Arial"/>
          <w:lang w:val="en-GB"/>
        </w:rPr>
        <w:t>Mr.</w:t>
      </w:r>
      <w:proofErr w:type="spellEnd"/>
      <w:r w:rsidR="00F4030E">
        <w:rPr>
          <w:rFonts w:ascii="Arial" w:hAnsi="Arial" w:cs="Arial"/>
          <w:lang w:val="en-GB"/>
        </w:rPr>
        <w:t xml:space="preserve"> Martin who, at that time, appeared for the 1</w:t>
      </w:r>
      <w:r w:rsidR="00F4030E" w:rsidRPr="00F4030E">
        <w:rPr>
          <w:rFonts w:ascii="Arial" w:hAnsi="Arial" w:cs="Arial"/>
          <w:vertAlign w:val="superscript"/>
          <w:lang w:val="en-GB"/>
        </w:rPr>
        <w:t>st</w:t>
      </w:r>
      <w:r w:rsidR="00F4030E">
        <w:rPr>
          <w:rFonts w:ascii="Arial" w:hAnsi="Arial" w:cs="Arial"/>
          <w:lang w:val="en-GB"/>
        </w:rPr>
        <w:t xml:space="preserve"> and 3</w:t>
      </w:r>
      <w:r w:rsidR="00F4030E" w:rsidRPr="00F4030E">
        <w:rPr>
          <w:rFonts w:ascii="Arial" w:hAnsi="Arial" w:cs="Arial"/>
          <w:vertAlign w:val="superscript"/>
          <w:lang w:val="en-GB"/>
        </w:rPr>
        <w:t>rd</w:t>
      </w:r>
      <w:r w:rsidR="00F4030E">
        <w:rPr>
          <w:rFonts w:ascii="Arial" w:hAnsi="Arial" w:cs="Arial"/>
          <w:lang w:val="en-GB"/>
        </w:rPr>
        <w:t xml:space="preserve"> Defendants, having just been retained, applied for an adjournment to prepare for the trial. </w:t>
      </w:r>
      <w:r w:rsidR="00C16DF8">
        <w:rPr>
          <w:rFonts w:ascii="Arial" w:hAnsi="Arial" w:cs="Arial"/>
          <w:lang w:val="en-GB"/>
        </w:rPr>
        <w:t xml:space="preserve">The trial (on </w:t>
      </w:r>
      <w:r w:rsidR="00F4030E">
        <w:rPr>
          <w:rFonts w:ascii="Arial" w:hAnsi="Arial" w:cs="Arial"/>
          <w:lang w:val="en-GB"/>
        </w:rPr>
        <w:t>submissions</w:t>
      </w:r>
      <w:r w:rsidR="00C16DF8">
        <w:rPr>
          <w:rFonts w:ascii="Arial" w:hAnsi="Arial" w:cs="Arial"/>
          <w:lang w:val="en-GB"/>
        </w:rPr>
        <w:t>)</w:t>
      </w:r>
      <w:r w:rsidR="00F4030E">
        <w:rPr>
          <w:rFonts w:ascii="Arial" w:hAnsi="Arial" w:cs="Arial"/>
          <w:lang w:val="en-GB"/>
        </w:rPr>
        <w:t xml:space="preserve"> was then adjourned to 14 April 2011.</w:t>
      </w:r>
    </w:p>
    <w:p w:rsidR="00F4030E" w:rsidRDefault="00F4030E" w:rsidP="008C10D4">
      <w:pPr>
        <w:pStyle w:val="ListParagraph"/>
        <w:widowControl w:val="0"/>
        <w:autoSpaceDE w:val="0"/>
        <w:autoSpaceDN w:val="0"/>
        <w:jc w:val="both"/>
        <w:rPr>
          <w:rFonts w:ascii="Arial" w:hAnsi="Arial" w:cs="Arial"/>
          <w:lang w:val="en-GB"/>
        </w:rPr>
      </w:pPr>
    </w:p>
    <w:p w:rsidR="00812785" w:rsidRPr="00C16DF8" w:rsidRDefault="00F4030E" w:rsidP="00C16DF8">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On 14 April 2011, instead of</w:t>
      </w:r>
      <w:r w:rsidRPr="00F4030E">
        <w:rPr>
          <w:rFonts w:ascii="Arial" w:hAnsi="Arial" w:cs="Arial"/>
          <w:lang w:val="en-GB"/>
        </w:rPr>
        <w:t xml:space="preserve"> </w:t>
      </w:r>
      <w:r>
        <w:rPr>
          <w:rFonts w:ascii="Arial" w:hAnsi="Arial" w:cs="Arial"/>
          <w:lang w:val="en-GB"/>
        </w:rPr>
        <w:t>hearing the trial o</w:t>
      </w:r>
      <w:r w:rsidR="009F5586">
        <w:rPr>
          <w:rFonts w:ascii="Arial" w:hAnsi="Arial" w:cs="Arial"/>
          <w:lang w:val="en-GB"/>
        </w:rPr>
        <w:t>n</w:t>
      </w:r>
      <w:r>
        <w:rPr>
          <w:rFonts w:ascii="Arial" w:hAnsi="Arial" w:cs="Arial"/>
          <w:lang w:val="en-GB"/>
        </w:rPr>
        <w:t xml:space="preserve"> submissions</w:t>
      </w:r>
      <w:r w:rsidR="009F5586">
        <w:rPr>
          <w:rFonts w:ascii="Arial" w:hAnsi="Arial" w:cs="Arial"/>
          <w:lang w:val="en-GB"/>
        </w:rPr>
        <w:t>,</w:t>
      </w:r>
      <w:r>
        <w:rPr>
          <w:rFonts w:ascii="Arial" w:hAnsi="Arial" w:cs="Arial"/>
          <w:lang w:val="en-GB"/>
        </w:rPr>
        <w:t xml:space="preserve"> the learned judge </w:t>
      </w:r>
      <w:r w:rsidR="00C16DF8">
        <w:rPr>
          <w:rFonts w:ascii="Arial" w:hAnsi="Arial" w:cs="Arial"/>
          <w:lang w:val="en-GB"/>
        </w:rPr>
        <w:t xml:space="preserve">proceeded to hear </w:t>
      </w:r>
      <w:r>
        <w:rPr>
          <w:rFonts w:ascii="Arial" w:hAnsi="Arial" w:cs="Arial"/>
          <w:lang w:val="en-GB"/>
        </w:rPr>
        <w:t>a Summons filed on 17 March 2011 to have the present action d</w:t>
      </w:r>
      <w:r w:rsidR="007C05DA" w:rsidRPr="00F4030E">
        <w:rPr>
          <w:rFonts w:ascii="Arial" w:hAnsi="Arial" w:cs="Arial"/>
          <w:lang w:val="en-GB"/>
        </w:rPr>
        <w:t>ismissed for want of prosecution</w:t>
      </w:r>
      <w:r>
        <w:rPr>
          <w:rFonts w:ascii="Arial" w:hAnsi="Arial" w:cs="Arial"/>
          <w:lang w:val="en-GB"/>
        </w:rPr>
        <w:t xml:space="preserve"> pursuant </w:t>
      </w:r>
      <w:r w:rsidR="006D5F38">
        <w:rPr>
          <w:rFonts w:ascii="Arial" w:hAnsi="Arial" w:cs="Arial"/>
          <w:lang w:val="en-GB"/>
        </w:rPr>
        <w:t>to Order 25 r.1(4) of the Rules of the Supreme Court, 1978</w:t>
      </w:r>
      <w:r w:rsidR="007C05DA" w:rsidRPr="00F4030E">
        <w:rPr>
          <w:rFonts w:ascii="Arial" w:hAnsi="Arial" w:cs="Arial"/>
          <w:lang w:val="en-GB"/>
        </w:rPr>
        <w:t>.</w:t>
      </w:r>
      <w:r w:rsidRPr="00F4030E">
        <w:rPr>
          <w:rFonts w:ascii="Arial" w:hAnsi="Arial" w:cs="Arial"/>
          <w:lang w:val="en-GB"/>
        </w:rPr>
        <w:t xml:space="preserve"> </w:t>
      </w:r>
      <w:r w:rsidR="00C16DF8" w:rsidRPr="00C16DF8">
        <w:rPr>
          <w:rFonts w:ascii="Arial" w:hAnsi="Arial" w:cs="Arial"/>
          <w:lang w:val="en-GB"/>
        </w:rPr>
        <w:t xml:space="preserve">On </w:t>
      </w:r>
      <w:r w:rsidR="006D5F38" w:rsidRPr="00C16DF8">
        <w:rPr>
          <w:rFonts w:ascii="Arial" w:hAnsi="Arial" w:cs="Arial"/>
          <w:lang w:val="en-GB"/>
        </w:rPr>
        <w:t xml:space="preserve">29 July 2011, </w:t>
      </w:r>
      <w:r w:rsidR="00C16DF8">
        <w:rPr>
          <w:rFonts w:ascii="Arial" w:hAnsi="Arial" w:cs="Arial"/>
          <w:lang w:val="en-GB"/>
        </w:rPr>
        <w:t>he</w:t>
      </w:r>
      <w:r w:rsidR="006D5F38" w:rsidRPr="00C16DF8">
        <w:rPr>
          <w:rFonts w:ascii="Arial" w:hAnsi="Arial" w:cs="Arial"/>
          <w:lang w:val="en-GB"/>
        </w:rPr>
        <w:t xml:space="preserve"> made the follo</w:t>
      </w:r>
      <w:r w:rsidRPr="00C16DF8">
        <w:rPr>
          <w:rFonts w:ascii="Arial" w:hAnsi="Arial" w:cs="Arial"/>
          <w:lang w:val="en-GB"/>
        </w:rPr>
        <w:t>wing order:</w:t>
      </w:r>
    </w:p>
    <w:p w:rsidR="0089478F" w:rsidRDefault="0089478F" w:rsidP="00F4030E">
      <w:pPr>
        <w:pStyle w:val="ListParagraph"/>
        <w:rPr>
          <w:rFonts w:ascii="Arial" w:hAnsi="Arial" w:cs="Arial"/>
          <w:lang w:val="en-GB"/>
        </w:rPr>
      </w:pPr>
    </w:p>
    <w:p w:rsidR="0089478F" w:rsidRPr="0089478F" w:rsidRDefault="0089478F" w:rsidP="00F4030E">
      <w:pPr>
        <w:pStyle w:val="ListParagraph"/>
        <w:widowControl w:val="0"/>
        <w:numPr>
          <w:ilvl w:val="0"/>
          <w:numId w:val="13"/>
        </w:numPr>
        <w:autoSpaceDE w:val="0"/>
        <w:autoSpaceDN w:val="0"/>
        <w:jc w:val="both"/>
        <w:rPr>
          <w:rFonts w:ascii="Arial" w:hAnsi="Arial" w:cs="Arial"/>
          <w:lang w:val="en-GB"/>
        </w:rPr>
      </w:pPr>
      <w:r w:rsidRPr="0089478F">
        <w:rPr>
          <w:rFonts w:ascii="Arial" w:hAnsi="Arial" w:cs="Arial"/>
          <w:lang w:val="en-GB"/>
        </w:rPr>
        <w:t>The action is dismissed as against the Second Defendant for want of prosecution with costs to the Second Defendant to be taxed if not agreed;</w:t>
      </w:r>
    </w:p>
    <w:p w:rsidR="0089478F" w:rsidRPr="001C6E06" w:rsidRDefault="0089478F" w:rsidP="00F4030E">
      <w:pPr>
        <w:pStyle w:val="ListParagraph"/>
        <w:ind w:left="1440"/>
        <w:jc w:val="both"/>
        <w:rPr>
          <w:rFonts w:ascii="Arial" w:hAnsi="Arial" w:cs="Arial"/>
          <w:lang w:val="en-GB"/>
        </w:rPr>
      </w:pPr>
    </w:p>
    <w:p w:rsidR="0089478F" w:rsidRPr="0089478F" w:rsidRDefault="0089478F" w:rsidP="0089478F">
      <w:pPr>
        <w:pStyle w:val="ListParagraph"/>
        <w:numPr>
          <w:ilvl w:val="0"/>
          <w:numId w:val="13"/>
        </w:numPr>
        <w:jc w:val="both"/>
        <w:rPr>
          <w:rFonts w:ascii="Arial" w:hAnsi="Arial" w:cs="Arial"/>
          <w:lang w:val="en-GB"/>
        </w:rPr>
      </w:pPr>
      <w:r w:rsidRPr="0089478F">
        <w:rPr>
          <w:rFonts w:ascii="Arial" w:hAnsi="Arial" w:cs="Arial"/>
          <w:lang w:val="en-GB"/>
        </w:rPr>
        <w:t>Judgment is given to the Plaintiff [Arawak Homes] against the First Defendant and the Third Defendant with costs to the Plaintiff to be taxed if not agreed.</w:t>
      </w:r>
    </w:p>
    <w:p w:rsidR="006D5F38" w:rsidRDefault="006D5F38" w:rsidP="008C10D4">
      <w:pPr>
        <w:pStyle w:val="ListParagraph"/>
        <w:widowControl w:val="0"/>
        <w:autoSpaceDE w:val="0"/>
        <w:autoSpaceDN w:val="0"/>
        <w:ind w:left="1440"/>
        <w:jc w:val="both"/>
        <w:rPr>
          <w:rFonts w:ascii="Arial" w:hAnsi="Arial" w:cs="Arial"/>
          <w:lang w:val="en-GB"/>
        </w:rPr>
      </w:pPr>
    </w:p>
    <w:p w:rsidR="007C05DA" w:rsidRDefault="007C05DA" w:rsidP="0089478F">
      <w:pPr>
        <w:pStyle w:val="ListParagraph"/>
        <w:widowControl w:val="0"/>
        <w:numPr>
          <w:ilvl w:val="0"/>
          <w:numId w:val="2"/>
        </w:numPr>
        <w:autoSpaceDE w:val="0"/>
        <w:autoSpaceDN w:val="0"/>
        <w:spacing w:line="360" w:lineRule="auto"/>
        <w:jc w:val="both"/>
        <w:rPr>
          <w:rFonts w:ascii="Arial" w:hAnsi="Arial" w:cs="Arial"/>
          <w:lang w:val="en-GB"/>
        </w:rPr>
      </w:pPr>
      <w:r w:rsidRPr="0089478F">
        <w:rPr>
          <w:rFonts w:ascii="Arial" w:hAnsi="Arial" w:cs="Arial"/>
          <w:lang w:val="en-GB"/>
        </w:rPr>
        <w:t xml:space="preserve">By this Order, </w:t>
      </w:r>
      <w:proofErr w:type="spellStart"/>
      <w:r w:rsidR="00C16DF8">
        <w:rPr>
          <w:rFonts w:ascii="Arial" w:hAnsi="Arial" w:cs="Arial"/>
          <w:lang w:val="en-GB"/>
        </w:rPr>
        <w:t>Adderley</w:t>
      </w:r>
      <w:proofErr w:type="spellEnd"/>
      <w:r w:rsidR="00C16DF8">
        <w:rPr>
          <w:rFonts w:ascii="Arial" w:hAnsi="Arial" w:cs="Arial"/>
          <w:lang w:val="en-GB"/>
        </w:rPr>
        <w:t xml:space="preserve"> J set aside the certificate of t</w:t>
      </w:r>
      <w:r w:rsidRPr="0089478F">
        <w:rPr>
          <w:rFonts w:ascii="Arial" w:hAnsi="Arial" w:cs="Arial"/>
          <w:lang w:val="en-GB"/>
        </w:rPr>
        <w:t xml:space="preserve">itle granted to Thaddeus Johnson but found in favour of </w:t>
      </w:r>
      <w:proofErr w:type="spellStart"/>
      <w:r w:rsidRPr="0089478F">
        <w:rPr>
          <w:rFonts w:ascii="Arial" w:hAnsi="Arial" w:cs="Arial"/>
          <w:lang w:val="en-GB"/>
        </w:rPr>
        <w:t>Eleaz</w:t>
      </w:r>
      <w:r w:rsidR="00CC333A">
        <w:rPr>
          <w:rFonts w:ascii="Arial" w:hAnsi="Arial" w:cs="Arial"/>
          <w:lang w:val="en-GB"/>
        </w:rPr>
        <w:t>o</w:t>
      </w:r>
      <w:r w:rsidRPr="0089478F">
        <w:rPr>
          <w:rFonts w:ascii="Arial" w:hAnsi="Arial" w:cs="Arial"/>
          <w:lang w:val="en-GB"/>
        </w:rPr>
        <w:t>r</w:t>
      </w:r>
      <w:proofErr w:type="spellEnd"/>
      <w:r w:rsidRPr="0089478F">
        <w:rPr>
          <w:rFonts w:ascii="Arial" w:hAnsi="Arial" w:cs="Arial"/>
          <w:lang w:val="en-GB"/>
        </w:rPr>
        <w:t xml:space="preserve"> Ferguson</w:t>
      </w:r>
      <w:r w:rsidR="006D5F38">
        <w:rPr>
          <w:rFonts w:ascii="Arial" w:hAnsi="Arial" w:cs="Arial"/>
          <w:lang w:val="en-GB"/>
        </w:rPr>
        <w:t xml:space="preserve"> making a finding that </w:t>
      </w:r>
      <w:r w:rsidR="00C16DF8">
        <w:rPr>
          <w:rFonts w:ascii="Arial" w:hAnsi="Arial" w:cs="Arial"/>
          <w:lang w:val="en-GB"/>
        </w:rPr>
        <w:t>“</w:t>
      </w:r>
      <w:r w:rsidR="006D5F38" w:rsidRPr="00EF2D8F">
        <w:rPr>
          <w:rFonts w:ascii="Arial" w:hAnsi="Arial" w:cs="Arial"/>
          <w:i/>
          <w:lang w:val="en-GB"/>
        </w:rPr>
        <w:t xml:space="preserve">no finding </w:t>
      </w:r>
      <w:r w:rsidR="00C16DF8" w:rsidRPr="00EF2D8F">
        <w:rPr>
          <w:rFonts w:ascii="Arial" w:hAnsi="Arial" w:cs="Arial"/>
          <w:i/>
          <w:lang w:val="en-GB"/>
        </w:rPr>
        <w:t>was made as to his [</w:t>
      </w:r>
      <w:proofErr w:type="spellStart"/>
      <w:r w:rsidR="00C16DF8" w:rsidRPr="00EF2D8F">
        <w:rPr>
          <w:rFonts w:ascii="Arial" w:hAnsi="Arial" w:cs="Arial"/>
          <w:i/>
          <w:lang w:val="en-GB"/>
        </w:rPr>
        <w:t>Eleazor</w:t>
      </w:r>
      <w:proofErr w:type="spellEnd"/>
      <w:r w:rsidR="00C16DF8" w:rsidRPr="00EF2D8F">
        <w:rPr>
          <w:rFonts w:ascii="Arial" w:hAnsi="Arial" w:cs="Arial"/>
          <w:i/>
          <w:lang w:val="en-GB"/>
        </w:rPr>
        <w:t xml:space="preserve"> Ferguson] complicity in fraud as was made in respect of Thaddeus Johnson and CB</w:t>
      </w:r>
      <w:r w:rsidR="00C16DF8">
        <w:rPr>
          <w:rFonts w:ascii="Arial" w:hAnsi="Arial" w:cs="Arial"/>
          <w:lang w:val="en-GB"/>
        </w:rPr>
        <w:t>.</w:t>
      </w:r>
      <w:r w:rsidR="00EF2D8F">
        <w:rPr>
          <w:rFonts w:ascii="Arial" w:hAnsi="Arial" w:cs="Arial"/>
          <w:lang w:val="en-GB"/>
        </w:rPr>
        <w:t>”</w:t>
      </w:r>
      <w:r w:rsidR="00C16DF8">
        <w:rPr>
          <w:rFonts w:ascii="Arial" w:hAnsi="Arial" w:cs="Arial"/>
          <w:lang w:val="en-GB"/>
        </w:rPr>
        <w:t xml:space="preserve"> </w:t>
      </w:r>
      <w:r w:rsidRPr="0089478F">
        <w:rPr>
          <w:rFonts w:ascii="Arial" w:hAnsi="Arial" w:cs="Arial"/>
          <w:lang w:val="en-GB"/>
        </w:rPr>
        <w:t xml:space="preserve">Arawak Homes appealed </w:t>
      </w:r>
      <w:proofErr w:type="spellStart"/>
      <w:r w:rsidRPr="0089478F">
        <w:rPr>
          <w:rFonts w:ascii="Arial" w:hAnsi="Arial" w:cs="Arial"/>
          <w:lang w:val="en-GB"/>
        </w:rPr>
        <w:t>Adderley</w:t>
      </w:r>
      <w:proofErr w:type="spellEnd"/>
      <w:r w:rsidRPr="0089478F">
        <w:rPr>
          <w:rFonts w:ascii="Arial" w:hAnsi="Arial" w:cs="Arial"/>
          <w:lang w:val="en-GB"/>
        </w:rPr>
        <w:t xml:space="preserve"> J</w:t>
      </w:r>
      <w:r w:rsidR="00260D09">
        <w:rPr>
          <w:rFonts w:ascii="Arial" w:hAnsi="Arial" w:cs="Arial"/>
          <w:lang w:val="en-GB"/>
        </w:rPr>
        <w:t>’s judgment</w:t>
      </w:r>
      <w:r w:rsidRPr="0089478F">
        <w:rPr>
          <w:rFonts w:ascii="Arial" w:hAnsi="Arial" w:cs="Arial"/>
          <w:lang w:val="en-GB"/>
        </w:rPr>
        <w:t xml:space="preserve"> in favour of </w:t>
      </w:r>
      <w:proofErr w:type="spellStart"/>
      <w:r w:rsidRPr="0089478F">
        <w:rPr>
          <w:rFonts w:ascii="Arial" w:hAnsi="Arial" w:cs="Arial"/>
          <w:lang w:val="en-GB"/>
        </w:rPr>
        <w:t>Eleazor</w:t>
      </w:r>
      <w:proofErr w:type="spellEnd"/>
      <w:r w:rsidRPr="0089478F">
        <w:rPr>
          <w:rFonts w:ascii="Arial" w:hAnsi="Arial" w:cs="Arial"/>
          <w:lang w:val="en-GB"/>
        </w:rPr>
        <w:t xml:space="preserve"> Ferguson to the Court of Appeal.</w:t>
      </w:r>
    </w:p>
    <w:p w:rsidR="00F441F4" w:rsidRDefault="00F441F4" w:rsidP="00431CD6">
      <w:pPr>
        <w:widowControl w:val="0"/>
        <w:autoSpaceDE w:val="0"/>
        <w:autoSpaceDN w:val="0"/>
        <w:jc w:val="both"/>
        <w:rPr>
          <w:rFonts w:ascii="Arial" w:hAnsi="Arial" w:cs="Arial"/>
          <w:lang w:val="en-GB"/>
        </w:rPr>
      </w:pPr>
    </w:p>
    <w:p w:rsidR="00F441F4" w:rsidRPr="00F441F4" w:rsidRDefault="00F441F4" w:rsidP="00F441F4">
      <w:pPr>
        <w:spacing w:line="360" w:lineRule="auto"/>
        <w:jc w:val="both"/>
        <w:rPr>
          <w:rFonts w:ascii="Arial" w:hAnsi="Arial" w:cs="Arial"/>
          <w:b/>
        </w:rPr>
      </w:pPr>
      <w:r>
        <w:rPr>
          <w:rFonts w:ascii="Arial" w:hAnsi="Arial" w:cs="Arial"/>
          <w:b/>
        </w:rPr>
        <w:t>Appeal to the Court of Appeal and subsequent remission to the Supreme Court</w:t>
      </w:r>
    </w:p>
    <w:p w:rsidR="00F052F2" w:rsidRPr="00F052F2" w:rsidRDefault="000124D1" w:rsidP="00F052F2">
      <w:pPr>
        <w:pStyle w:val="ListParagraph"/>
        <w:widowControl w:val="0"/>
        <w:numPr>
          <w:ilvl w:val="0"/>
          <w:numId w:val="2"/>
        </w:numPr>
        <w:autoSpaceDE w:val="0"/>
        <w:autoSpaceDN w:val="0"/>
        <w:spacing w:line="360" w:lineRule="auto"/>
        <w:jc w:val="both"/>
        <w:rPr>
          <w:rFonts w:ascii="Arial" w:hAnsi="Arial" w:cs="Arial"/>
          <w:lang w:val="en-GB"/>
        </w:rPr>
      </w:pPr>
      <w:r w:rsidRPr="00F441F4">
        <w:rPr>
          <w:rFonts w:ascii="Arial" w:hAnsi="Arial" w:cs="Arial"/>
        </w:rPr>
        <w:t>T</w:t>
      </w:r>
      <w:r w:rsidR="00BF30E1" w:rsidRPr="00F441F4">
        <w:rPr>
          <w:rFonts w:ascii="Arial" w:hAnsi="Arial" w:cs="Arial"/>
        </w:rPr>
        <w:t xml:space="preserve">he </w:t>
      </w:r>
      <w:r w:rsidR="00431CD6">
        <w:rPr>
          <w:rFonts w:ascii="Arial" w:hAnsi="Arial" w:cs="Arial"/>
        </w:rPr>
        <w:t>o</w:t>
      </w:r>
      <w:r w:rsidR="00F052F2">
        <w:rPr>
          <w:rFonts w:ascii="Arial" w:hAnsi="Arial" w:cs="Arial"/>
        </w:rPr>
        <w:t xml:space="preserve">ral ruling of the Court of Appeal was delivered by the learned President, Dame Anita Allen </w:t>
      </w:r>
      <w:r w:rsidR="00BF30E1" w:rsidRPr="00F441F4">
        <w:rPr>
          <w:rFonts w:ascii="Arial" w:hAnsi="Arial" w:cs="Arial"/>
        </w:rPr>
        <w:t xml:space="preserve">on 14 March 2016. </w:t>
      </w:r>
      <w:r w:rsidR="00F052F2">
        <w:rPr>
          <w:rFonts w:ascii="Arial" w:hAnsi="Arial" w:cs="Arial"/>
        </w:rPr>
        <w:t>She had this to say:</w:t>
      </w:r>
    </w:p>
    <w:p w:rsidR="00F052F2" w:rsidRPr="00F052F2" w:rsidRDefault="00F052F2" w:rsidP="00F052F2">
      <w:pPr>
        <w:pStyle w:val="ListParagraph"/>
        <w:widowControl w:val="0"/>
        <w:autoSpaceDE w:val="0"/>
        <w:autoSpaceDN w:val="0"/>
        <w:jc w:val="both"/>
        <w:rPr>
          <w:rFonts w:ascii="Arial" w:hAnsi="Arial" w:cs="Arial"/>
          <w:lang w:val="en-GB"/>
        </w:rPr>
      </w:pPr>
    </w:p>
    <w:p w:rsidR="00F052F2" w:rsidRPr="00813290" w:rsidRDefault="00F052F2" w:rsidP="00F052F2">
      <w:pPr>
        <w:pStyle w:val="ListParagraph"/>
        <w:ind w:left="1440"/>
        <w:jc w:val="both"/>
        <w:rPr>
          <w:rFonts w:ascii="Arial" w:hAnsi="Arial" w:cs="Arial"/>
          <w:b/>
          <w:sz w:val="22"/>
          <w:szCs w:val="22"/>
          <w:u w:val="single"/>
        </w:rPr>
      </w:pPr>
      <w:r w:rsidRPr="00813290">
        <w:rPr>
          <w:rFonts w:ascii="Arial" w:hAnsi="Arial" w:cs="Arial"/>
          <w:b/>
          <w:sz w:val="22"/>
          <w:szCs w:val="22"/>
        </w:rPr>
        <w:t>“In the first place, the trial in this case before Allen J (as she then was) who, after dealing with certain preliminary issues arising in the case ordered on 20</w:t>
      </w:r>
      <w:r w:rsidRPr="00813290">
        <w:rPr>
          <w:rFonts w:ascii="Arial" w:hAnsi="Arial" w:cs="Arial"/>
          <w:b/>
          <w:sz w:val="22"/>
          <w:szCs w:val="22"/>
          <w:vertAlign w:val="superscript"/>
        </w:rPr>
        <w:t>th</w:t>
      </w:r>
      <w:r w:rsidRPr="00813290">
        <w:rPr>
          <w:rFonts w:ascii="Arial" w:hAnsi="Arial" w:cs="Arial"/>
          <w:b/>
          <w:sz w:val="22"/>
          <w:szCs w:val="22"/>
        </w:rPr>
        <w:t xml:space="preserve"> April 2004 that the trial of the substantive issue ought to </w:t>
      </w:r>
      <w:r w:rsidRPr="00813290">
        <w:rPr>
          <w:rFonts w:ascii="Arial" w:hAnsi="Arial" w:cs="Arial"/>
          <w:b/>
          <w:sz w:val="22"/>
          <w:szCs w:val="22"/>
        </w:rPr>
        <w:lastRenderedPageBreak/>
        <w:t>proceed. Additionally, the learned judge himself at paragraph 38 of his judgment said that the trial date was set by him for 11</w:t>
      </w:r>
      <w:r w:rsidRPr="00813290">
        <w:rPr>
          <w:rFonts w:ascii="Arial" w:hAnsi="Arial" w:cs="Arial"/>
          <w:b/>
          <w:sz w:val="22"/>
          <w:szCs w:val="22"/>
          <w:vertAlign w:val="superscript"/>
        </w:rPr>
        <w:t>th</w:t>
      </w:r>
      <w:r w:rsidRPr="00813290">
        <w:rPr>
          <w:rFonts w:ascii="Arial" w:hAnsi="Arial" w:cs="Arial"/>
          <w:b/>
          <w:sz w:val="22"/>
          <w:szCs w:val="22"/>
        </w:rPr>
        <w:t xml:space="preserve"> February 2011, and was adjourned by him on the application of counsel for the defendants to 14</w:t>
      </w:r>
      <w:r w:rsidRPr="00813290">
        <w:rPr>
          <w:rFonts w:ascii="Arial" w:hAnsi="Arial" w:cs="Arial"/>
          <w:b/>
          <w:sz w:val="22"/>
          <w:szCs w:val="22"/>
          <w:vertAlign w:val="superscript"/>
        </w:rPr>
        <w:t>th</w:t>
      </w:r>
      <w:r w:rsidRPr="00813290">
        <w:rPr>
          <w:rFonts w:ascii="Arial" w:hAnsi="Arial" w:cs="Arial"/>
          <w:b/>
          <w:sz w:val="22"/>
          <w:szCs w:val="22"/>
        </w:rPr>
        <w:t xml:space="preserve"> April 2011, to allow counsel as opportunity to prepare his case for trial. </w:t>
      </w:r>
      <w:r w:rsidRPr="00813290">
        <w:rPr>
          <w:rFonts w:ascii="Arial" w:hAnsi="Arial" w:cs="Arial"/>
          <w:b/>
          <w:sz w:val="22"/>
          <w:szCs w:val="22"/>
          <w:u w:val="single"/>
        </w:rPr>
        <w:t xml:space="preserve">On the date for the hearing of the trial, instead of proceeding with the trial, the application to strike out the Writ and Statement of Claim was made and disposed of in the manner indicated. It confounded us, to say the </w:t>
      </w:r>
      <w:proofErr w:type="gramStart"/>
      <w:r w:rsidRPr="00813290">
        <w:rPr>
          <w:rFonts w:ascii="Arial" w:hAnsi="Arial" w:cs="Arial"/>
          <w:b/>
          <w:sz w:val="22"/>
          <w:szCs w:val="22"/>
          <w:u w:val="single"/>
        </w:rPr>
        <w:t>least, that</w:t>
      </w:r>
      <w:proofErr w:type="gramEnd"/>
      <w:r w:rsidRPr="00813290">
        <w:rPr>
          <w:rFonts w:ascii="Arial" w:hAnsi="Arial" w:cs="Arial"/>
          <w:b/>
          <w:sz w:val="22"/>
          <w:szCs w:val="22"/>
          <w:u w:val="single"/>
        </w:rPr>
        <w:t xml:space="preserve"> the learned judge, after setting the date for trial on submissions, would thereafter entertain the application of the defendants to strike out the Writ and Statement of Claim for want of prosecution.  </w:t>
      </w:r>
    </w:p>
    <w:p w:rsidR="00F052F2" w:rsidRPr="00813290" w:rsidRDefault="00F052F2" w:rsidP="00F052F2">
      <w:pPr>
        <w:pStyle w:val="ListParagraph"/>
        <w:ind w:left="1440"/>
        <w:jc w:val="both"/>
        <w:rPr>
          <w:rFonts w:ascii="Arial" w:hAnsi="Arial" w:cs="Arial"/>
          <w:b/>
          <w:sz w:val="22"/>
          <w:szCs w:val="22"/>
        </w:rPr>
      </w:pPr>
    </w:p>
    <w:p w:rsidR="00F052F2" w:rsidRPr="00813290" w:rsidRDefault="00F052F2" w:rsidP="00F052F2">
      <w:pPr>
        <w:pStyle w:val="ListParagraph"/>
        <w:ind w:left="1440"/>
        <w:jc w:val="both"/>
        <w:rPr>
          <w:rFonts w:ascii="Arial" w:hAnsi="Arial" w:cs="Arial"/>
          <w:b/>
          <w:sz w:val="22"/>
          <w:szCs w:val="22"/>
          <w:u w:val="single"/>
        </w:rPr>
      </w:pPr>
      <w:r w:rsidRPr="00813290">
        <w:rPr>
          <w:rFonts w:ascii="Arial" w:hAnsi="Arial" w:cs="Arial"/>
          <w:b/>
          <w:sz w:val="22"/>
          <w:szCs w:val="22"/>
          <w:u w:val="single"/>
        </w:rPr>
        <w:t xml:space="preserve">Indeed, at the time of the learned judge’s decision to have the matter tried on submissions only, he was aware of the Re-amended Statement of Claim in which it was </w:t>
      </w:r>
      <w:proofErr w:type="spellStart"/>
      <w:r w:rsidRPr="00813290">
        <w:rPr>
          <w:rFonts w:ascii="Arial" w:hAnsi="Arial" w:cs="Arial"/>
          <w:b/>
          <w:sz w:val="22"/>
          <w:szCs w:val="22"/>
          <w:u w:val="single"/>
        </w:rPr>
        <w:t>pleaded</w:t>
      </w:r>
      <w:proofErr w:type="spellEnd"/>
      <w:r w:rsidRPr="00813290">
        <w:rPr>
          <w:rFonts w:ascii="Arial" w:hAnsi="Arial" w:cs="Arial"/>
          <w:b/>
          <w:sz w:val="22"/>
          <w:szCs w:val="22"/>
          <w:u w:val="single"/>
        </w:rPr>
        <w:t xml:space="preserve"> that the certificate of title of the second defendant based, as it was, on Thaddeus Johnson’s certificate was fraudulent.</w:t>
      </w:r>
    </w:p>
    <w:p w:rsidR="00F052F2" w:rsidRPr="00813290" w:rsidRDefault="00F052F2" w:rsidP="00F052F2">
      <w:pPr>
        <w:pStyle w:val="ListParagraph"/>
        <w:ind w:left="1440"/>
        <w:jc w:val="both"/>
        <w:rPr>
          <w:rFonts w:ascii="Arial" w:hAnsi="Arial" w:cs="Arial"/>
          <w:b/>
          <w:sz w:val="22"/>
          <w:szCs w:val="22"/>
        </w:rPr>
      </w:pPr>
    </w:p>
    <w:p w:rsidR="00F052F2" w:rsidRPr="00813290" w:rsidRDefault="00F052F2" w:rsidP="00F052F2">
      <w:pPr>
        <w:pStyle w:val="ListParagraph"/>
        <w:ind w:left="1440"/>
        <w:jc w:val="both"/>
        <w:rPr>
          <w:rFonts w:ascii="Arial" w:hAnsi="Arial" w:cs="Arial"/>
          <w:b/>
          <w:sz w:val="22"/>
          <w:szCs w:val="22"/>
          <w:u w:val="single"/>
        </w:rPr>
      </w:pPr>
      <w:r w:rsidRPr="00813290">
        <w:rPr>
          <w:rFonts w:ascii="Arial" w:hAnsi="Arial" w:cs="Arial"/>
          <w:b/>
          <w:sz w:val="22"/>
          <w:szCs w:val="22"/>
          <w:u w:val="single"/>
        </w:rPr>
        <w:t xml:space="preserve">We would venture to say that it was because the learned judge was aware of this that he decided earlier that there were no issues of fact to be tried and that the matter ought to be tried only on submissions. It was therefore simply an interpretation of the various decisions which the court had already made in relation to the certificate of title granted to Thaddeus Johnson and, indeed, to </w:t>
      </w:r>
      <w:proofErr w:type="spellStart"/>
      <w:r w:rsidRPr="00813290">
        <w:rPr>
          <w:rFonts w:ascii="Arial" w:hAnsi="Arial" w:cs="Arial"/>
          <w:b/>
          <w:sz w:val="22"/>
          <w:szCs w:val="22"/>
          <w:u w:val="single"/>
        </w:rPr>
        <w:t>Eleazor</w:t>
      </w:r>
      <w:proofErr w:type="spellEnd"/>
      <w:r w:rsidRPr="00813290">
        <w:rPr>
          <w:rFonts w:ascii="Arial" w:hAnsi="Arial" w:cs="Arial"/>
          <w:b/>
          <w:sz w:val="22"/>
          <w:szCs w:val="22"/>
          <w:u w:val="single"/>
        </w:rPr>
        <w:t xml:space="preserve"> Ferguson which the judge would be concerned with on trial”</w:t>
      </w:r>
      <w:r w:rsidRPr="00813290">
        <w:rPr>
          <w:rFonts w:ascii="Arial" w:hAnsi="Arial" w:cs="Arial"/>
          <w:b/>
          <w:sz w:val="22"/>
          <w:szCs w:val="22"/>
        </w:rPr>
        <w:t xml:space="preserve">. </w:t>
      </w:r>
      <w:r w:rsidRPr="00051402">
        <w:rPr>
          <w:rFonts w:ascii="Arial" w:hAnsi="Arial" w:cs="Arial"/>
        </w:rPr>
        <w:t>[Emphasis added]</w:t>
      </w:r>
      <w:r w:rsidRPr="00813290">
        <w:rPr>
          <w:rFonts w:ascii="Arial" w:hAnsi="Arial" w:cs="Arial"/>
          <w:b/>
          <w:sz w:val="22"/>
          <w:szCs w:val="22"/>
          <w:u w:val="single"/>
        </w:rPr>
        <w:t xml:space="preserve">  </w:t>
      </w:r>
    </w:p>
    <w:p w:rsidR="00F052F2" w:rsidRPr="00F052F2" w:rsidRDefault="00F052F2" w:rsidP="008C10D4">
      <w:pPr>
        <w:widowControl w:val="0"/>
        <w:autoSpaceDE w:val="0"/>
        <w:autoSpaceDN w:val="0"/>
        <w:spacing w:line="360" w:lineRule="auto"/>
        <w:jc w:val="both"/>
        <w:rPr>
          <w:rFonts w:ascii="Arial" w:hAnsi="Arial" w:cs="Arial"/>
          <w:lang w:val="en-GB"/>
        </w:rPr>
      </w:pPr>
    </w:p>
    <w:p w:rsidR="00E6566A" w:rsidRPr="00E6566A" w:rsidRDefault="00BF30E1" w:rsidP="00E6566A">
      <w:pPr>
        <w:pStyle w:val="ListParagraph"/>
        <w:widowControl w:val="0"/>
        <w:numPr>
          <w:ilvl w:val="0"/>
          <w:numId w:val="2"/>
        </w:numPr>
        <w:autoSpaceDE w:val="0"/>
        <w:autoSpaceDN w:val="0"/>
        <w:spacing w:line="360" w:lineRule="auto"/>
        <w:jc w:val="both"/>
        <w:rPr>
          <w:rFonts w:ascii="Arial" w:hAnsi="Arial" w:cs="Arial"/>
          <w:lang w:val="en-GB"/>
        </w:rPr>
      </w:pPr>
      <w:r w:rsidRPr="00F052F2">
        <w:rPr>
          <w:rFonts w:ascii="Arial" w:hAnsi="Arial" w:cs="Arial"/>
        </w:rPr>
        <w:t xml:space="preserve">The Court of Appeal </w:t>
      </w:r>
      <w:r w:rsidR="00D57920">
        <w:rPr>
          <w:rFonts w:ascii="Arial" w:hAnsi="Arial" w:cs="Arial"/>
        </w:rPr>
        <w:t>was puzzled</w:t>
      </w:r>
      <w:r w:rsidRPr="00F052F2">
        <w:rPr>
          <w:rFonts w:ascii="Arial" w:hAnsi="Arial" w:cs="Arial"/>
        </w:rPr>
        <w:t xml:space="preserve"> that the learned judge struck out Arawak Homes’ Writ and Statement of Claim against </w:t>
      </w:r>
      <w:proofErr w:type="spellStart"/>
      <w:r w:rsidR="00815262" w:rsidRPr="00F052F2">
        <w:rPr>
          <w:rFonts w:ascii="Arial" w:hAnsi="Arial" w:cs="Arial"/>
        </w:rPr>
        <w:t>Eleaz</w:t>
      </w:r>
      <w:r w:rsidR="00E6566A">
        <w:rPr>
          <w:rFonts w:ascii="Arial" w:hAnsi="Arial" w:cs="Arial"/>
        </w:rPr>
        <w:t>o</w:t>
      </w:r>
      <w:r w:rsidR="00815262" w:rsidRPr="00F052F2">
        <w:rPr>
          <w:rFonts w:ascii="Arial" w:hAnsi="Arial" w:cs="Arial"/>
        </w:rPr>
        <w:t>r</w:t>
      </w:r>
      <w:proofErr w:type="spellEnd"/>
      <w:r w:rsidR="00815262" w:rsidRPr="00F052F2">
        <w:rPr>
          <w:rFonts w:ascii="Arial" w:hAnsi="Arial" w:cs="Arial"/>
        </w:rPr>
        <w:t xml:space="preserve"> </w:t>
      </w:r>
      <w:r w:rsidRPr="00F052F2">
        <w:rPr>
          <w:rFonts w:ascii="Arial" w:hAnsi="Arial" w:cs="Arial"/>
        </w:rPr>
        <w:t>Ferguson on the basis that no findings were made against him in Action 355 of 1985, and that since that was the case,</w:t>
      </w:r>
      <w:r w:rsidRPr="00051402">
        <w:rPr>
          <w:rFonts w:ascii="Arial" w:hAnsi="Arial" w:cs="Arial"/>
        </w:rPr>
        <w:t xml:space="preserve"> there would be a need for a full trial against him</w:t>
      </w:r>
      <w:r w:rsidRPr="00F052F2">
        <w:rPr>
          <w:rFonts w:ascii="Arial" w:hAnsi="Arial" w:cs="Arial"/>
        </w:rPr>
        <w:t xml:space="preserve"> and that, inasmuch as there had been inordinate and inexcusable delays by Arawak Homes, any such action should be dismissed for want of prosecution on the basis that any trial which ensued would be unfair.</w:t>
      </w:r>
      <w:r w:rsidR="00E6566A">
        <w:rPr>
          <w:rFonts w:ascii="Arial" w:hAnsi="Arial" w:cs="Arial"/>
        </w:rPr>
        <w:t xml:space="preserve"> </w:t>
      </w:r>
    </w:p>
    <w:p w:rsidR="00F052F2" w:rsidRPr="00F052F2" w:rsidRDefault="00F052F2" w:rsidP="00711F14">
      <w:pPr>
        <w:pStyle w:val="ListParagraph"/>
        <w:widowControl w:val="0"/>
        <w:autoSpaceDE w:val="0"/>
        <w:autoSpaceDN w:val="0"/>
        <w:jc w:val="both"/>
        <w:rPr>
          <w:rFonts w:ascii="Arial" w:hAnsi="Arial" w:cs="Arial"/>
          <w:lang w:val="en-GB"/>
        </w:rPr>
      </w:pPr>
    </w:p>
    <w:p w:rsidR="00F052F2" w:rsidRPr="00433579" w:rsidRDefault="00711F14" w:rsidP="00EE4EBF">
      <w:pPr>
        <w:pStyle w:val="ListParagraph"/>
        <w:widowControl w:val="0"/>
        <w:numPr>
          <w:ilvl w:val="0"/>
          <w:numId w:val="2"/>
        </w:numPr>
        <w:autoSpaceDE w:val="0"/>
        <w:autoSpaceDN w:val="0"/>
        <w:spacing w:line="360" w:lineRule="auto"/>
        <w:jc w:val="both"/>
        <w:rPr>
          <w:rFonts w:ascii="Arial" w:hAnsi="Arial" w:cs="Arial"/>
          <w:lang w:val="en-GB"/>
        </w:rPr>
      </w:pPr>
      <w:r w:rsidRPr="00B457AE">
        <w:rPr>
          <w:rFonts w:ascii="Arial" w:hAnsi="Arial" w:cs="Arial"/>
        </w:rPr>
        <w:t xml:space="preserve">On 14 March 2016, </w:t>
      </w:r>
      <w:r w:rsidR="00BF30E1" w:rsidRPr="00B457AE">
        <w:rPr>
          <w:rFonts w:ascii="Arial" w:hAnsi="Arial" w:cs="Arial"/>
        </w:rPr>
        <w:t xml:space="preserve">the Court of Appeal allowed the appeal and remitted the action to the Supreme Court </w:t>
      </w:r>
      <w:r w:rsidR="00BF30E1" w:rsidRPr="00B457AE">
        <w:rPr>
          <w:rFonts w:ascii="Arial" w:hAnsi="Arial" w:cs="Arial"/>
          <w:b/>
        </w:rPr>
        <w:t>for trial on submissions only</w:t>
      </w:r>
      <w:r w:rsidR="00BF30E1" w:rsidRPr="00B457AE">
        <w:rPr>
          <w:rFonts w:ascii="Arial" w:hAnsi="Arial" w:cs="Arial"/>
        </w:rPr>
        <w:t xml:space="preserve"> as against </w:t>
      </w:r>
      <w:r w:rsidR="00AF3FBA" w:rsidRPr="00B457AE">
        <w:rPr>
          <w:rFonts w:ascii="Arial" w:hAnsi="Arial" w:cs="Arial"/>
        </w:rPr>
        <w:t>the 2</w:t>
      </w:r>
      <w:r w:rsidR="00AF3FBA" w:rsidRPr="00B457AE">
        <w:rPr>
          <w:rFonts w:ascii="Arial" w:hAnsi="Arial" w:cs="Arial"/>
          <w:vertAlign w:val="superscript"/>
        </w:rPr>
        <w:t>nd</w:t>
      </w:r>
      <w:r w:rsidR="00AF3FBA" w:rsidRPr="00B457AE">
        <w:rPr>
          <w:rFonts w:ascii="Arial" w:hAnsi="Arial" w:cs="Arial"/>
        </w:rPr>
        <w:t xml:space="preserve"> Defendant</w:t>
      </w:r>
      <w:r w:rsidR="00F052F2" w:rsidRPr="00B457AE">
        <w:rPr>
          <w:rFonts w:ascii="Arial" w:hAnsi="Arial" w:cs="Arial"/>
        </w:rPr>
        <w:t xml:space="preserve">, </w:t>
      </w:r>
      <w:proofErr w:type="spellStart"/>
      <w:r w:rsidR="00F052F2" w:rsidRPr="00B457AE">
        <w:rPr>
          <w:rFonts w:ascii="Arial" w:hAnsi="Arial" w:cs="Arial"/>
        </w:rPr>
        <w:t>Tanica</w:t>
      </w:r>
      <w:proofErr w:type="spellEnd"/>
      <w:r w:rsidR="00F052F2" w:rsidRPr="00B457AE">
        <w:rPr>
          <w:rFonts w:ascii="Arial" w:hAnsi="Arial" w:cs="Arial"/>
        </w:rPr>
        <w:t xml:space="preserve"> </w:t>
      </w:r>
      <w:proofErr w:type="spellStart"/>
      <w:r w:rsidR="00F052F2" w:rsidRPr="00B457AE">
        <w:rPr>
          <w:rFonts w:ascii="Arial" w:hAnsi="Arial" w:cs="Arial"/>
        </w:rPr>
        <w:t>Fergsuon</w:t>
      </w:r>
      <w:proofErr w:type="spellEnd"/>
      <w:r w:rsidRPr="00B457AE">
        <w:rPr>
          <w:rFonts w:ascii="Arial" w:hAnsi="Arial" w:cs="Arial"/>
        </w:rPr>
        <w:t xml:space="preserve"> </w:t>
      </w:r>
      <w:r w:rsidR="00B457AE" w:rsidRPr="00B457AE">
        <w:rPr>
          <w:rFonts w:ascii="Arial" w:hAnsi="Arial" w:cs="Arial"/>
        </w:rPr>
        <w:t>since</w:t>
      </w:r>
      <w:r w:rsidR="00A827A2" w:rsidRPr="00B457AE">
        <w:rPr>
          <w:rFonts w:ascii="Arial" w:hAnsi="Arial" w:cs="Arial"/>
        </w:rPr>
        <w:t xml:space="preserve"> </w:t>
      </w:r>
      <w:proofErr w:type="spellStart"/>
      <w:r w:rsidR="00A827A2" w:rsidRPr="00B457AE">
        <w:rPr>
          <w:rFonts w:ascii="Arial" w:hAnsi="Arial" w:cs="Arial"/>
        </w:rPr>
        <w:t>Eleazer</w:t>
      </w:r>
      <w:proofErr w:type="spellEnd"/>
      <w:r w:rsidR="00A827A2" w:rsidRPr="00B457AE">
        <w:rPr>
          <w:rFonts w:ascii="Arial" w:hAnsi="Arial" w:cs="Arial"/>
        </w:rPr>
        <w:t xml:space="preserve"> Ferguson </w:t>
      </w:r>
      <w:r w:rsidR="00AF3FBA" w:rsidRPr="00B457AE">
        <w:rPr>
          <w:rFonts w:ascii="Arial" w:hAnsi="Arial" w:cs="Arial"/>
        </w:rPr>
        <w:t>ha</w:t>
      </w:r>
      <w:r w:rsidR="00051402" w:rsidRPr="00B457AE">
        <w:rPr>
          <w:rFonts w:ascii="Arial" w:hAnsi="Arial" w:cs="Arial"/>
        </w:rPr>
        <w:t>d</w:t>
      </w:r>
      <w:r w:rsidR="00B457AE" w:rsidRPr="00B457AE">
        <w:rPr>
          <w:rFonts w:ascii="Arial" w:hAnsi="Arial" w:cs="Arial"/>
        </w:rPr>
        <w:t>,</w:t>
      </w:r>
      <w:r w:rsidR="00AF3FBA" w:rsidRPr="00B457AE">
        <w:rPr>
          <w:rFonts w:ascii="Arial" w:hAnsi="Arial" w:cs="Arial"/>
        </w:rPr>
        <w:t xml:space="preserve"> </w:t>
      </w:r>
      <w:r w:rsidR="00B457AE" w:rsidRPr="00B457AE">
        <w:rPr>
          <w:rFonts w:ascii="Arial" w:hAnsi="Arial" w:cs="Arial"/>
        </w:rPr>
        <w:t>by then, gone to the Great Beyond.</w:t>
      </w:r>
    </w:p>
    <w:p w:rsidR="00433579" w:rsidRPr="00433579" w:rsidRDefault="00433579" w:rsidP="008C10D4">
      <w:pPr>
        <w:widowControl w:val="0"/>
        <w:autoSpaceDE w:val="0"/>
        <w:autoSpaceDN w:val="0"/>
        <w:jc w:val="both"/>
        <w:rPr>
          <w:rFonts w:ascii="Arial" w:hAnsi="Arial" w:cs="Arial"/>
          <w:lang w:val="en-GB"/>
        </w:rPr>
      </w:pPr>
    </w:p>
    <w:p w:rsidR="00BF30E1" w:rsidRPr="007B72A3" w:rsidRDefault="00BF30E1" w:rsidP="00F052F2">
      <w:pPr>
        <w:pStyle w:val="ListParagraph"/>
        <w:widowControl w:val="0"/>
        <w:numPr>
          <w:ilvl w:val="0"/>
          <w:numId w:val="2"/>
        </w:numPr>
        <w:autoSpaceDE w:val="0"/>
        <w:autoSpaceDN w:val="0"/>
        <w:spacing w:line="360" w:lineRule="auto"/>
        <w:jc w:val="both"/>
        <w:rPr>
          <w:rFonts w:ascii="Arial" w:hAnsi="Arial" w:cs="Arial"/>
          <w:lang w:val="en-GB"/>
        </w:rPr>
      </w:pPr>
      <w:r w:rsidRPr="00F052F2">
        <w:rPr>
          <w:rFonts w:ascii="Arial" w:hAnsi="Arial" w:cs="Arial"/>
        </w:rPr>
        <w:t>Learned Counsel Mr. Martin submitted that the remitting order</w:t>
      </w:r>
      <w:r w:rsidR="00EE4EBF">
        <w:rPr>
          <w:rFonts w:ascii="Arial" w:hAnsi="Arial" w:cs="Arial"/>
        </w:rPr>
        <w:t>,</w:t>
      </w:r>
      <w:r w:rsidRPr="00F052F2">
        <w:rPr>
          <w:rFonts w:ascii="Arial" w:hAnsi="Arial" w:cs="Arial"/>
        </w:rPr>
        <w:t xml:space="preserve"> not having been made a part of these proceedings</w:t>
      </w:r>
      <w:r w:rsidR="00EE4EBF">
        <w:rPr>
          <w:rFonts w:ascii="Arial" w:hAnsi="Arial" w:cs="Arial"/>
        </w:rPr>
        <w:t>,</w:t>
      </w:r>
      <w:r w:rsidRPr="00F052F2">
        <w:rPr>
          <w:rFonts w:ascii="Arial" w:hAnsi="Arial" w:cs="Arial"/>
        </w:rPr>
        <w:t xml:space="preserve"> by lodging it or entering it upon</w:t>
      </w:r>
      <w:r w:rsidR="00A05C6A">
        <w:rPr>
          <w:rFonts w:ascii="Arial" w:hAnsi="Arial" w:cs="Arial"/>
        </w:rPr>
        <w:t xml:space="preserve"> the record, it is open to the c</w:t>
      </w:r>
      <w:r w:rsidRPr="00F052F2">
        <w:rPr>
          <w:rFonts w:ascii="Arial" w:hAnsi="Arial" w:cs="Arial"/>
        </w:rPr>
        <w:t>ou</w:t>
      </w:r>
      <w:r w:rsidR="001D4FD3" w:rsidRPr="00F052F2">
        <w:rPr>
          <w:rFonts w:ascii="Arial" w:hAnsi="Arial" w:cs="Arial"/>
        </w:rPr>
        <w:t xml:space="preserve">rt to ignore it. </w:t>
      </w:r>
      <w:r w:rsidR="00A827A2" w:rsidRPr="00F052F2">
        <w:rPr>
          <w:rFonts w:ascii="Arial" w:hAnsi="Arial" w:cs="Arial"/>
        </w:rPr>
        <w:t xml:space="preserve">This argument </w:t>
      </w:r>
      <w:r w:rsidR="00E61556">
        <w:rPr>
          <w:rFonts w:ascii="Arial" w:hAnsi="Arial" w:cs="Arial"/>
        </w:rPr>
        <w:t xml:space="preserve">is preposterous </w:t>
      </w:r>
      <w:r w:rsidR="00A827A2" w:rsidRPr="00F052F2">
        <w:rPr>
          <w:rFonts w:ascii="Arial" w:hAnsi="Arial" w:cs="Arial"/>
        </w:rPr>
        <w:t xml:space="preserve">because </w:t>
      </w:r>
      <w:r w:rsidR="00E61556">
        <w:rPr>
          <w:rFonts w:ascii="Arial" w:hAnsi="Arial" w:cs="Arial"/>
        </w:rPr>
        <w:t xml:space="preserve">it is an order of a superior court directing an inferior court what to do. Why should such </w:t>
      </w:r>
      <w:r w:rsidR="00E61556">
        <w:rPr>
          <w:rFonts w:ascii="Arial" w:hAnsi="Arial" w:cs="Arial"/>
        </w:rPr>
        <w:lastRenderedPageBreak/>
        <w:t>an order be lodged or entered?</w:t>
      </w:r>
      <w:r w:rsidR="00A827A2" w:rsidRPr="00F052F2">
        <w:rPr>
          <w:rFonts w:ascii="Arial" w:hAnsi="Arial" w:cs="Arial"/>
        </w:rPr>
        <w:t xml:space="preserve"> Even if t</w:t>
      </w:r>
      <w:r w:rsidR="00433579">
        <w:rPr>
          <w:rFonts w:ascii="Arial" w:hAnsi="Arial" w:cs="Arial"/>
        </w:rPr>
        <w:t>here is a rule saying that the o</w:t>
      </w:r>
      <w:r w:rsidR="00A827A2" w:rsidRPr="00F052F2">
        <w:rPr>
          <w:rFonts w:ascii="Arial" w:hAnsi="Arial" w:cs="Arial"/>
        </w:rPr>
        <w:t>rder ought to be lodged</w:t>
      </w:r>
      <w:r w:rsidR="001D4FD3" w:rsidRPr="00F052F2">
        <w:rPr>
          <w:rFonts w:ascii="Arial" w:hAnsi="Arial" w:cs="Arial"/>
        </w:rPr>
        <w:t xml:space="preserve"> or entered</w:t>
      </w:r>
      <w:r w:rsidR="00A827A2" w:rsidRPr="00F052F2">
        <w:rPr>
          <w:rFonts w:ascii="Arial" w:hAnsi="Arial" w:cs="Arial"/>
        </w:rPr>
        <w:t xml:space="preserve">, I am always reminded of Lord Collin’s judicious introductory words in </w:t>
      </w:r>
      <w:r w:rsidR="00A827A2" w:rsidRPr="00F052F2">
        <w:rPr>
          <w:rFonts w:ascii="Arial" w:hAnsi="Arial" w:cs="Arial"/>
          <w:b/>
        </w:rPr>
        <w:t xml:space="preserve">Texan Management </w:t>
      </w:r>
      <w:r w:rsidR="008950E0">
        <w:rPr>
          <w:rFonts w:ascii="Arial" w:hAnsi="Arial" w:cs="Arial"/>
          <w:b/>
        </w:rPr>
        <w:t xml:space="preserve">Limited &amp; </w:t>
      </w:r>
      <w:proofErr w:type="spellStart"/>
      <w:r w:rsidR="008950E0">
        <w:rPr>
          <w:rFonts w:ascii="Arial" w:hAnsi="Arial" w:cs="Arial"/>
          <w:b/>
        </w:rPr>
        <w:t>Ors</w:t>
      </w:r>
      <w:proofErr w:type="spellEnd"/>
      <w:r w:rsidR="008950E0">
        <w:rPr>
          <w:rFonts w:ascii="Arial" w:hAnsi="Arial" w:cs="Arial"/>
          <w:b/>
        </w:rPr>
        <w:t xml:space="preserve"> </w:t>
      </w:r>
      <w:r w:rsidR="00A827A2" w:rsidRPr="00F052F2">
        <w:rPr>
          <w:rFonts w:ascii="Arial" w:hAnsi="Arial" w:cs="Arial"/>
          <w:b/>
        </w:rPr>
        <w:t>v Pacific Electric</w:t>
      </w:r>
      <w:r w:rsidR="008950E0">
        <w:rPr>
          <w:rFonts w:ascii="Arial" w:hAnsi="Arial" w:cs="Arial"/>
          <w:b/>
        </w:rPr>
        <w:t xml:space="preserve"> Wire &amp; Cable Company Limited </w:t>
      </w:r>
      <w:r w:rsidR="002A2601" w:rsidRPr="00062D0A">
        <w:rPr>
          <w:rFonts w:ascii="Arial" w:hAnsi="Arial" w:cs="Arial"/>
        </w:rPr>
        <w:t>[2009] UKPC 46</w:t>
      </w:r>
      <w:r w:rsidR="00A827A2" w:rsidRPr="00F052F2">
        <w:rPr>
          <w:rFonts w:ascii="Arial" w:hAnsi="Arial" w:cs="Arial"/>
          <w:b/>
        </w:rPr>
        <w:t xml:space="preserve"> </w:t>
      </w:r>
      <w:r w:rsidR="00A827A2" w:rsidRPr="00F052F2">
        <w:rPr>
          <w:rFonts w:ascii="Arial" w:hAnsi="Arial" w:cs="Arial"/>
        </w:rPr>
        <w:t xml:space="preserve">– appeal from the British Virgin Islands, where </w:t>
      </w:r>
      <w:r w:rsidR="009A2F8C">
        <w:rPr>
          <w:rFonts w:ascii="Arial" w:hAnsi="Arial" w:cs="Arial"/>
        </w:rPr>
        <w:t>t</w:t>
      </w:r>
      <w:r w:rsidR="002A2601" w:rsidRPr="00F052F2">
        <w:rPr>
          <w:rFonts w:ascii="Arial" w:hAnsi="Arial" w:cs="Arial"/>
        </w:rPr>
        <w:t>he</w:t>
      </w:r>
      <w:r w:rsidR="009A2F8C">
        <w:rPr>
          <w:rFonts w:ascii="Arial" w:hAnsi="Arial" w:cs="Arial"/>
        </w:rPr>
        <w:t xml:space="preserve"> learned law lord</w:t>
      </w:r>
      <w:r w:rsidR="00A827A2" w:rsidRPr="00F052F2">
        <w:rPr>
          <w:rFonts w:ascii="Arial" w:hAnsi="Arial" w:cs="Arial"/>
        </w:rPr>
        <w:t xml:space="preserve"> stated: </w:t>
      </w:r>
      <w:r w:rsidR="00A827A2" w:rsidRPr="00F052F2">
        <w:rPr>
          <w:rFonts w:ascii="Arial" w:hAnsi="Arial" w:cs="Arial"/>
          <w:b/>
          <w:i/>
        </w:rPr>
        <w:t>“it has often been said</w:t>
      </w:r>
      <w:r w:rsidR="002A2601" w:rsidRPr="00F052F2">
        <w:rPr>
          <w:rFonts w:ascii="Arial" w:hAnsi="Arial" w:cs="Arial"/>
          <w:b/>
          <w:i/>
        </w:rPr>
        <w:t>,</w:t>
      </w:r>
      <w:r w:rsidR="00A827A2" w:rsidRPr="00F052F2">
        <w:rPr>
          <w:rFonts w:ascii="Arial" w:hAnsi="Arial" w:cs="Arial"/>
          <w:b/>
          <w:i/>
        </w:rPr>
        <w:t xml:space="preserve"> in the pursuit of justice, procedure is a servant</w:t>
      </w:r>
      <w:r w:rsidR="002A2601" w:rsidRPr="00F052F2">
        <w:rPr>
          <w:rFonts w:ascii="Arial" w:hAnsi="Arial" w:cs="Arial"/>
          <w:b/>
          <w:i/>
        </w:rPr>
        <w:t xml:space="preserve"> and</w:t>
      </w:r>
      <w:r w:rsidR="00A827A2" w:rsidRPr="00F052F2">
        <w:rPr>
          <w:rFonts w:ascii="Arial" w:hAnsi="Arial" w:cs="Arial"/>
          <w:b/>
          <w:i/>
        </w:rPr>
        <w:t xml:space="preserve"> not a master.”</w:t>
      </w:r>
    </w:p>
    <w:p w:rsidR="009A2F8C" w:rsidRDefault="009A2F8C" w:rsidP="008C10D4">
      <w:pPr>
        <w:rPr>
          <w:rFonts w:ascii="Arial" w:hAnsi="Arial" w:cs="Arial"/>
          <w:lang w:val="en-GB"/>
        </w:rPr>
      </w:pPr>
    </w:p>
    <w:p w:rsidR="009A2F8C" w:rsidRPr="009A2F8C" w:rsidRDefault="009A2F8C" w:rsidP="009A2F8C">
      <w:pPr>
        <w:spacing w:line="360" w:lineRule="auto"/>
        <w:rPr>
          <w:rFonts w:ascii="Arial" w:hAnsi="Arial" w:cs="Arial"/>
          <w:b/>
        </w:rPr>
      </w:pPr>
      <w:r>
        <w:rPr>
          <w:rFonts w:ascii="Arial" w:hAnsi="Arial" w:cs="Arial"/>
          <w:b/>
        </w:rPr>
        <w:t>The pleadings</w:t>
      </w:r>
    </w:p>
    <w:p w:rsidR="007944D9" w:rsidRDefault="00AF3FBA"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In its Re-Amended Statement of Claim, Arawak Homes alleged that it along with its predecessor in title Pinewood Gardens Limited (In Liquidation) (“Pinewood”) is and was at all material times the fee simple owner in possession of the property situate in the Eastern and Southern Districts of New Providence known as the Pinewood Gardens Subdivision save for a number of lots whi</w:t>
      </w:r>
      <w:r w:rsidR="007944D9" w:rsidRPr="009A2F8C">
        <w:rPr>
          <w:rFonts w:ascii="Arial" w:hAnsi="Arial" w:cs="Arial"/>
          <w:lang w:val="en-GB"/>
        </w:rPr>
        <w:t>ch, prior to March 1983, was sold by Pinewood.</w:t>
      </w:r>
    </w:p>
    <w:p w:rsidR="009A2F8C" w:rsidRDefault="009A2F8C" w:rsidP="009A2F8C">
      <w:pPr>
        <w:pStyle w:val="ListParagraph"/>
        <w:widowControl w:val="0"/>
        <w:autoSpaceDE w:val="0"/>
        <w:autoSpaceDN w:val="0"/>
        <w:jc w:val="both"/>
        <w:rPr>
          <w:rFonts w:ascii="Arial" w:hAnsi="Arial" w:cs="Arial"/>
          <w:lang w:val="en-GB"/>
        </w:rPr>
      </w:pPr>
    </w:p>
    <w:p w:rsidR="007944D9" w:rsidRDefault="007944D9"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At paragraph 2</w:t>
      </w:r>
      <w:r w:rsidR="009A2F8C">
        <w:rPr>
          <w:rFonts w:ascii="Arial" w:hAnsi="Arial" w:cs="Arial"/>
          <w:lang w:val="en-GB"/>
        </w:rPr>
        <w:t xml:space="preserve">, </w:t>
      </w:r>
      <w:r w:rsidRPr="009A2F8C">
        <w:rPr>
          <w:rFonts w:ascii="Arial" w:hAnsi="Arial" w:cs="Arial"/>
          <w:lang w:val="en-GB"/>
        </w:rPr>
        <w:t xml:space="preserve">Arawak Homes relies on documentary title </w:t>
      </w:r>
      <w:r w:rsidR="00286DDE">
        <w:rPr>
          <w:rFonts w:ascii="Arial" w:hAnsi="Arial" w:cs="Arial"/>
          <w:lang w:val="en-GB"/>
        </w:rPr>
        <w:t xml:space="preserve">and </w:t>
      </w:r>
      <w:r w:rsidR="0082026D">
        <w:rPr>
          <w:rFonts w:ascii="Arial" w:hAnsi="Arial" w:cs="Arial"/>
          <w:lang w:val="en-GB"/>
        </w:rPr>
        <w:t xml:space="preserve">can show its root to title dating back to </w:t>
      </w:r>
      <w:r w:rsidR="00286DDE">
        <w:rPr>
          <w:rFonts w:ascii="Arial" w:hAnsi="Arial" w:cs="Arial"/>
          <w:lang w:val="en-GB"/>
        </w:rPr>
        <w:t>1942</w:t>
      </w:r>
      <w:r w:rsidR="0082026D">
        <w:rPr>
          <w:rFonts w:ascii="Arial" w:hAnsi="Arial" w:cs="Arial"/>
          <w:lang w:val="en-GB"/>
        </w:rPr>
        <w:t>. In</w:t>
      </w:r>
      <w:r w:rsidRPr="009A2F8C">
        <w:rPr>
          <w:rFonts w:ascii="Arial" w:hAnsi="Arial" w:cs="Arial"/>
          <w:lang w:val="en-GB"/>
        </w:rPr>
        <w:t xml:space="preserve"> particular</w:t>
      </w:r>
      <w:r w:rsidR="007363E4" w:rsidRPr="009A2F8C">
        <w:rPr>
          <w:rFonts w:ascii="Arial" w:hAnsi="Arial" w:cs="Arial"/>
          <w:lang w:val="en-GB"/>
        </w:rPr>
        <w:t>:</w:t>
      </w: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A conveyance dated 20 November 1942 between Joseph Garfunkel and Amusement Ltd. and recorded in the Registry of Records in Book M. 15 at pages 108 and 109;</w:t>
      </w:r>
    </w:p>
    <w:p w:rsidR="009A2F8C" w:rsidRDefault="009A2F8C" w:rsidP="009A2F8C">
      <w:pPr>
        <w:pStyle w:val="ListParagraph"/>
        <w:widowControl w:val="0"/>
        <w:autoSpaceDE w:val="0"/>
        <w:autoSpaceDN w:val="0"/>
        <w:ind w:left="1800"/>
        <w:jc w:val="both"/>
        <w:rPr>
          <w:rFonts w:ascii="Arial" w:hAnsi="Arial" w:cs="Arial"/>
          <w:lang w:val="en-GB"/>
        </w:rPr>
      </w:pP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Affidavit of Joseph Garfunkel dated 21 September 1956 recorded in Volume 39 at pages 534 to 537;</w:t>
      </w:r>
    </w:p>
    <w:p w:rsidR="009A2F8C" w:rsidRPr="009A5DB3"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A conveyance dated 22 September 1956 between Amusements Ltd and International Agencies Limited and recorded in Volume 39 at pages 538 to 542;</w:t>
      </w:r>
    </w:p>
    <w:p w:rsidR="009A2F8C" w:rsidRPr="009A5DB3"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A conveyance dated 6 April 1957 between International Agencies Limited and Alexia Nihon and Godfrey Kenneth Kelly and recorded in Volume 57 at pages 193 to 197;</w:t>
      </w:r>
    </w:p>
    <w:p w:rsidR="009A2F8C" w:rsidRPr="009A5DB3"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A Crown Grant of 19 December 1961 by the Queen to Alexis Nihon and recorded in Volume 472 at pages 518 to 519;</w:t>
      </w:r>
    </w:p>
    <w:p w:rsidR="009A2F8C" w:rsidRPr="009A5DB3"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A conveyance dated 1 May 1972 between Alexis Nihon and Pinewood Gardens Limited and recorded in Book 1927 at pages 349 to 354;</w:t>
      </w:r>
    </w:p>
    <w:p w:rsidR="009A2F8C" w:rsidRPr="009A5DB3"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1"/>
          <w:numId w:val="2"/>
        </w:numPr>
        <w:autoSpaceDE w:val="0"/>
        <w:autoSpaceDN w:val="0"/>
        <w:jc w:val="both"/>
        <w:rPr>
          <w:rFonts w:ascii="Arial" w:hAnsi="Arial" w:cs="Arial"/>
          <w:lang w:val="en-GB"/>
        </w:rPr>
      </w:pPr>
      <w:r>
        <w:rPr>
          <w:rFonts w:ascii="Arial" w:hAnsi="Arial" w:cs="Arial"/>
          <w:lang w:val="en-GB"/>
        </w:rPr>
        <w:t xml:space="preserve">Assignment of the Equity of Redemption dated 8 March 1983 between </w:t>
      </w:r>
      <w:r>
        <w:rPr>
          <w:rFonts w:ascii="Arial" w:hAnsi="Arial" w:cs="Arial"/>
          <w:lang w:val="en-GB"/>
        </w:rPr>
        <w:lastRenderedPageBreak/>
        <w:t xml:space="preserve">Pinewood Gardens Limited (In Liquidation) and George Clifford </w:t>
      </w:r>
      <w:proofErr w:type="spellStart"/>
      <w:r>
        <w:rPr>
          <w:rFonts w:ascii="Arial" w:hAnsi="Arial" w:cs="Arial"/>
          <w:lang w:val="en-GB"/>
        </w:rPr>
        <w:t>Culmer</w:t>
      </w:r>
      <w:proofErr w:type="spellEnd"/>
      <w:r>
        <w:rPr>
          <w:rFonts w:ascii="Arial" w:hAnsi="Arial" w:cs="Arial"/>
          <w:lang w:val="en-GB"/>
        </w:rPr>
        <w:t xml:space="preserve"> and the Plaintiff and recorded in Volume 3980 at pages 477 to 517.</w:t>
      </w:r>
    </w:p>
    <w:p w:rsidR="009A2F8C" w:rsidRPr="009A2F8C" w:rsidRDefault="009A2F8C" w:rsidP="009A2F8C">
      <w:pPr>
        <w:pStyle w:val="ListParagraph"/>
        <w:spacing w:line="360" w:lineRule="auto"/>
        <w:ind w:left="2160"/>
        <w:rPr>
          <w:rFonts w:ascii="Arial" w:hAnsi="Arial" w:cs="Arial"/>
          <w:lang w:val="en-GB"/>
        </w:rPr>
      </w:pPr>
    </w:p>
    <w:p w:rsidR="00A3540D" w:rsidRDefault="00DF32EE"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At par</w:t>
      </w:r>
      <w:r w:rsidR="00A3540D" w:rsidRPr="009A2F8C">
        <w:rPr>
          <w:rFonts w:ascii="Arial" w:hAnsi="Arial" w:cs="Arial"/>
          <w:lang w:val="en-GB"/>
        </w:rPr>
        <w:t>agraph 5, Arawak Homes alleged that the 2</w:t>
      </w:r>
      <w:r w:rsidR="00A3540D" w:rsidRPr="009A2F8C">
        <w:rPr>
          <w:rFonts w:ascii="Arial" w:hAnsi="Arial" w:cs="Arial"/>
          <w:vertAlign w:val="superscript"/>
          <w:lang w:val="en-GB"/>
        </w:rPr>
        <w:t>nd</w:t>
      </w:r>
      <w:r w:rsidR="009A2F8C">
        <w:rPr>
          <w:rFonts w:ascii="Arial" w:hAnsi="Arial" w:cs="Arial"/>
          <w:lang w:val="en-GB"/>
        </w:rPr>
        <w:t xml:space="preserve"> Defendant is the holder of a certificate of t</w:t>
      </w:r>
      <w:r w:rsidR="00A3540D" w:rsidRPr="009A2F8C">
        <w:rPr>
          <w:rFonts w:ascii="Arial" w:hAnsi="Arial" w:cs="Arial"/>
          <w:lang w:val="en-GB"/>
        </w:rPr>
        <w:t>itle (“the F</w:t>
      </w:r>
      <w:r w:rsidR="009A2F8C">
        <w:rPr>
          <w:rFonts w:ascii="Arial" w:hAnsi="Arial" w:cs="Arial"/>
          <w:lang w:val="en-GB"/>
        </w:rPr>
        <w:t>erguson certificate of t</w:t>
      </w:r>
      <w:r w:rsidR="00A3540D" w:rsidRPr="009A2F8C">
        <w:rPr>
          <w:rFonts w:ascii="Arial" w:hAnsi="Arial" w:cs="Arial"/>
          <w:lang w:val="en-GB"/>
        </w:rPr>
        <w:t>itle”) granted on 28 January 1985 and issued on 30 January 1985 by the Supreme Court in Action No. 10 of 1982. The l</w:t>
      </w:r>
      <w:r w:rsidR="009A2F8C">
        <w:rPr>
          <w:rFonts w:ascii="Arial" w:hAnsi="Arial" w:cs="Arial"/>
          <w:lang w:val="en-GB"/>
        </w:rPr>
        <w:t>and in respect of the Ferguson certificate of t</w:t>
      </w:r>
      <w:r w:rsidR="00A3540D" w:rsidRPr="009A2F8C">
        <w:rPr>
          <w:rFonts w:ascii="Arial" w:hAnsi="Arial" w:cs="Arial"/>
          <w:lang w:val="en-GB"/>
        </w:rPr>
        <w:t>itle is described therein as comprising all of Blocks Nos. 89, 90, 91, 94, 127, 135, 136 and 164 of Nassau Village Subdivision which blocks were also identified by means of the 1926 plan of Nassau Village Subdivision and comprise land of which Arawak Homes and/or Pinewood is and was at all material times the fee simple owner in possession.</w:t>
      </w:r>
    </w:p>
    <w:p w:rsidR="009A2F8C" w:rsidRDefault="009A2F8C" w:rsidP="009A2F8C">
      <w:pPr>
        <w:pStyle w:val="ListParagraph"/>
        <w:widowControl w:val="0"/>
        <w:autoSpaceDE w:val="0"/>
        <w:autoSpaceDN w:val="0"/>
        <w:jc w:val="both"/>
        <w:rPr>
          <w:rFonts w:ascii="Arial" w:hAnsi="Arial" w:cs="Arial"/>
          <w:lang w:val="en-GB"/>
        </w:rPr>
      </w:pPr>
    </w:p>
    <w:p w:rsidR="00A3540D" w:rsidRDefault="00A3540D"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At paragraph 6, Arawak Homes alleged that the 2</w:t>
      </w:r>
      <w:r w:rsidRPr="009A2F8C">
        <w:rPr>
          <w:rFonts w:ascii="Arial" w:hAnsi="Arial" w:cs="Arial"/>
          <w:vertAlign w:val="superscript"/>
          <w:lang w:val="en-GB"/>
        </w:rPr>
        <w:t>nd</w:t>
      </w:r>
      <w:r w:rsidRPr="009A2F8C">
        <w:rPr>
          <w:rFonts w:ascii="Arial" w:hAnsi="Arial" w:cs="Arial"/>
          <w:lang w:val="en-GB"/>
        </w:rPr>
        <w:t xml:space="preserve"> Defendant who was an adverse claimant in Action 10 of 1982 claims title to the said blocks of lands described in paragraph 4 on the basis of his having bought his interest from Thaddeus Johnson by a conveyance dated 15 August 1984, some two years after the presentation of the Quieting Petition in Action No. 10 of 1982 and bef</w:t>
      </w:r>
      <w:r w:rsidR="009A2F8C">
        <w:rPr>
          <w:rFonts w:ascii="Arial" w:hAnsi="Arial" w:cs="Arial"/>
          <w:lang w:val="en-GB"/>
        </w:rPr>
        <w:t>ore the grant of the Johnson’s certificate of t</w:t>
      </w:r>
      <w:r w:rsidRPr="009A2F8C">
        <w:rPr>
          <w:rFonts w:ascii="Arial" w:hAnsi="Arial" w:cs="Arial"/>
          <w:lang w:val="en-GB"/>
        </w:rPr>
        <w:t>itle.</w:t>
      </w:r>
    </w:p>
    <w:p w:rsidR="009A2F8C" w:rsidRPr="009A2F8C" w:rsidRDefault="009A2F8C" w:rsidP="009A2F8C">
      <w:pPr>
        <w:pStyle w:val="ListParagraph"/>
        <w:rPr>
          <w:rFonts w:ascii="Arial" w:hAnsi="Arial" w:cs="Arial"/>
          <w:lang w:val="en-GB"/>
        </w:rPr>
      </w:pPr>
    </w:p>
    <w:p w:rsidR="008B2AFE" w:rsidRDefault="009A5DB3"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 xml:space="preserve">Arawak Homes alleged at paragraph 9 that “[T]he said </w:t>
      </w:r>
      <w:r w:rsidR="009A2F8C">
        <w:rPr>
          <w:rFonts w:ascii="Arial" w:hAnsi="Arial" w:cs="Arial"/>
          <w:lang w:val="en-GB"/>
        </w:rPr>
        <w:t>certificates of t</w:t>
      </w:r>
      <w:r w:rsidRPr="009A2F8C">
        <w:rPr>
          <w:rFonts w:ascii="Arial" w:hAnsi="Arial" w:cs="Arial"/>
          <w:lang w:val="en-GB"/>
        </w:rPr>
        <w:t>itle granted to the 1</w:t>
      </w:r>
      <w:r w:rsidRPr="009A2F8C">
        <w:rPr>
          <w:rFonts w:ascii="Arial" w:hAnsi="Arial" w:cs="Arial"/>
          <w:vertAlign w:val="superscript"/>
          <w:lang w:val="en-GB"/>
        </w:rPr>
        <w:t>st</w:t>
      </w:r>
      <w:r w:rsidRPr="009A2F8C">
        <w:rPr>
          <w:rFonts w:ascii="Arial" w:hAnsi="Arial" w:cs="Arial"/>
          <w:lang w:val="en-GB"/>
        </w:rPr>
        <w:t xml:space="preserve"> and 2</w:t>
      </w:r>
      <w:r w:rsidRPr="009A2F8C">
        <w:rPr>
          <w:rFonts w:ascii="Arial" w:hAnsi="Arial" w:cs="Arial"/>
          <w:vertAlign w:val="superscript"/>
          <w:lang w:val="en-GB"/>
        </w:rPr>
        <w:t>nd</w:t>
      </w:r>
      <w:r w:rsidRPr="009A2F8C">
        <w:rPr>
          <w:rFonts w:ascii="Arial" w:hAnsi="Arial" w:cs="Arial"/>
          <w:lang w:val="en-GB"/>
        </w:rPr>
        <w:t xml:space="preserve"> Defendants were based on a survey plan of the Nassau Village Subdivision </w:t>
      </w:r>
      <w:r w:rsidR="008B2AFE" w:rsidRPr="009A2F8C">
        <w:rPr>
          <w:rFonts w:ascii="Arial" w:hAnsi="Arial" w:cs="Arial"/>
          <w:lang w:val="en-GB"/>
        </w:rPr>
        <w:t xml:space="preserve">which plan is a “paper subdivision” </w:t>
      </w:r>
      <w:r w:rsidR="00A05C6A">
        <w:rPr>
          <w:rFonts w:ascii="Arial" w:hAnsi="Arial" w:cs="Arial"/>
          <w:lang w:val="en-GB"/>
        </w:rPr>
        <w:t>and</w:t>
      </w:r>
      <w:r w:rsidR="008B2AFE" w:rsidRPr="009A2F8C">
        <w:rPr>
          <w:rFonts w:ascii="Arial" w:hAnsi="Arial" w:cs="Arial"/>
          <w:lang w:val="en-GB"/>
        </w:rPr>
        <w:t xml:space="preserve"> failed to show the Pinewood Gardens Subdivision </w:t>
      </w:r>
      <w:r w:rsidR="00A05C6A">
        <w:rPr>
          <w:rFonts w:ascii="Arial" w:hAnsi="Arial" w:cs="Arial"/>
          <w:lang w:val="en-GB"/>
        </w:rPr>
        <w:t xml:space="preserve">as </w:t>
      </w:r>
      <w:r w:rsidR="008B2AFE" w:rsidRPr="009A2F8C">
        <w:rPr>
          <w:rFonts w:ascii="Arial" w:hAnsi="Arial" w:cs="Arial"/>
          <w:lang w:val="en-GB"/>
        </w:rPr>
        <w:t xml:space="preserve">laid out on land the subject of the </w:t>
      </w:r>
      <w:r w:rsidR="009A2F8C">
        <w:rPr>
          <w:rFonts w:ascii="Arial" w:hAnsi="Arial" w:cs="Arial"/>
          <w:lang w:val="en-GB"/>
        </w:rPr>
        <w:t>certificates of t</w:t>
      </w:r>
      <w:r w:rsidR="008B2AFE" w:rsidRPr="009A2F8C">
        <w:rPr>
          <w:rFonts w:ascii="Arial" w:hAnsi="Arial" w:cs="Arial"/>
          <w:lang w:val="en-GB"/>
        </w:rPr>
        <w:t xml:space="preserve">itle and as would of necessity have been shown on a proper modern survey plan following a current survey prepared by a competent registered </w:t>
      </w:r>
      <w:r w:rsidR="008C2A71">
        <w:rPr>
          <w:rFonts w:ascii="Arial" w:hAnsi="Arial" w:cs="Arial"/>
          <w:lang w:val="en-GB"/>
        </w:rPr>
        <w:t xml:space="preserve">surveyor </w:t>
      </w:r>
      <w:r w:rsidR="008B2AFE" w:rsidRPr="009A2F8C">
        <w:rPr>
          <w:rFonts w:ascii="Arial" w:hAnsi="Arial" w:cs="Arial"/>
          <w:lang w:val="en-GB"/>
        </w:rPr>
        <w:t>as is required by the Act.</w:t>
      </w:r>
      <w:r w:rsidR="008C2A71">
        <w:rPr>
          <w:rFonts w:ascii="Arial" w:hAnsi="Arial" w:cs="Arial"/>
          <w:lang w:val="en-GB"/>
        </w:rPr>
        <w:t>”</w:t>
      </w:r>
    </w:p>
    <w:p w:rsidR="009A2F8C" w:rsidRPr="009A2F8C" w:rsidRDefault="009A2F8C" w:rsidP="009A2F8C">
      <w:pPr>
        <w:pStyle w:val="ListParagraph"/>
        <w:rPr>
          <w:rFonts w:ascii="Arial" w:hAnsi="Arial" w:cs="Arial"/>
          <w:lang w:val="en-GB"/>
        </w:rPr>
      </w:pPr>
    </w:p>
    <w:p w:rsidR="00A3540D" w:rsidRDefault="00212AB4"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 xml:space="preserve">At paragraphs 10 and 11, Arawak Homes averred that by the interlocutory order made on 16 September 1983 in Action No. 10 of 1982 it was ordered that notice of the Petition be served upon the adjoining owners and/or occupiers and occupants of the land the subject of the said Action; and no such notice was served on Pinewood the predecessor in title to Arawak Homes or Arawak Homes itself even though there were obvious and inescapable signs of occupation of the </w:t>
      </w:r>
      <w:r w:rsidRPr="009A2F8C">
        <w:rPr>
          <w:rFonts w:ascii="Arial" w:hAnsi="Arial" w:cs="Arial"/>
          <w:lang w:val="en-GB"/>
        </w:rPr>
        <w:lastRenderedPageBreak/>
        <w:t>subject land by Pinewood such as the layout of roads and lots according to the Pinewood plan which differs significantly from the outdated Nassau Village plan.</w:t>
      </w:r>
    </w:p>
    <w:p w:rsidR="009A2F8C" w:rsidRPr="009A2F8C" w:rsidRDefault="009A2F8C" w:rsidP="009A2F8C">
      <w:pPr>
        <w:pStyle w:val="ListParagraph"/>
        <w:rPr>
          <w:rFonts w:ascii="Arial" w:hAnsi="Arial" w:cs="Arial"/>
          <w:lang w:val="en-GB"/>
        </w:rPr>
      </w:pPr>
    </w:p>
    <w:p w:rsidR="00212AB4" w:rsidRDefault="00212AB4"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 xml:space="preserve">At paragraph 13, Arawak </w:t>
      </w:r>
      <w:r w:rsidR="009A2F8C">
        <w:rPr>
          <w:rFonts w:ascii="Arial" w:hAnsi="Arial" w:cs="Arial"/>
          <w:lang w:val="en-GB"/>
        </w:rPr>
        <w:t>Homes alleged that the Johnson certificate of t</w:t>
      </w:r>
      <w:r w:rsidRPr="009A2F8C">
        <w:rPr>
          <w:rFonts w:ascii="Arial" w:hAnsi="Arial" w:cs="Arial"/>
          <w:lang w:val="en-GB"/>
        </w:rPr>
        <w:t xml:space="preserve">itle was obtained fraudulently or by falsehood. The particulars of fraud </w:t>
      </w:r>
      <w:r w:rsidR="004D6CFA" w:rsidRPr="009A2F8C">
        <w:rPr>
          <w:rFonts w:ascii="Arial" w:hAnsi="Arial" w:cs="Arial"/>
          <w:lang w:val="en-GB"/>
        </w:rPr>
        <w:t>are set out in 13 (</w:t>
      </w:r>
      <w:proofErr w:type="spellStart"/>
      <w:r w:rsidR="004D6CFA" w:rsidRPr="009A2F8C">
        <w:rPr>
          <w:rFonts w:ascii="Arial" w:hAnsi="Arial" w:cs="Arial"/>
          <w:lang w:val="en-GB"/>
        </w:rPr>
        <w:t>i</w:t>
      </w:r>
      <w:proofErr w:type="spellEnd"/>
      <w:r w:rsidR="004D6CFA" w:rsidRPr="009A2F8C">
        <w:rPr>
          <w:rFonts w:ascii="Arial" w:hAnsi="Arial" w:cs="Arial"/>
          <w:lang w:val="en-GB"/>
        </w:rPr>
        <w:t xml:space="preserve">) to (v). </w:t>
      </w:r>
    </w:p>
    <w:p w:rsidR="009A2F8C" w:rsidRPr="009A2F8C" w:rsidRDefault="009A2F8C" w:rsidP="009A2F8C">
      <w:pPr>
        <w:pStyle w:val="ListParagraph"/>
        <w:rPr>
          <w:rFonts w:ascii="Arial" w:hAnsi="Arial" w:cs="Arial"/>
          <w:lang w:val="en-GB"/>
        </w:rPr>
      </w:pPr>
    </w:p>
    <w:p w:rsidR="00AF3FBA" w:rsidRDefault="004D6CFA"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 xml:space="preserve">At paragraph 14, Arawak Homes alleged </w:t>
      </w:r>
      <w:r w:rsidR="009A2F8C">
        <w:rPr>
          <w:rFonts w:ascii="Arial" w:hAnsi="Arial" w:cs="Arial"/>
          <w:lang w:val="en-GB"/>
        </w:rPr>
        <w:t>that the Ferguson certificate of t</w:t>
      </w:r>
      <w:r w:rsidRPr="009A2F8C">
        <w:rPr>
          <w:rFonts w:ascii="Arial" w:hAnsi="Arial" w:cs="Arial"/>
          <w:lang w:val="en-GB"/>
        </w:rPr>
        <w:t>itle was obtained fraudulently or by falsehood. The particulars are set out in 14</w:t>
      </w:r>
      <w:r w:rsidR="00DE02DE">
        <w:rPr>
          <w:rFonts w:ascii="Arial" w:hAnsi="Arial" w:cs="Arial"/>
          <w:lang w:val="en-GB"/>
        </w:rPr>
        <w:t xml:space="preserve"> </w:t>
      </w:r>
      <w:r w:rsidRPr="009A2F8C">
        <w:rPr>
          <w:rFonts w:ascii="Arial" w:hAnsi="Arial" w:cs="Arial"/>
          <w:lang w:val="en-GB"/>
        </w:rPr>
        <w:t>(</w:t>
      </w:r>
      <w:proofErr w:type="spellStart"/>
      <w:r w:rsidRPr="009A2F8C">
        <w:rPr>
          <w:rFonts w:ascii="Arial" w:hAnsi="Arial" w:cs="Arial"/>
          <w:lang w:val="en-GB"/>
        </w:rPr>
        <w:t>i</w:t>
      </w:r>
      <w:proofErr w:type="spellEnd"/>
      <w:r w:rsidRPr="009A2F8C">
        <w:rPr>
          <w:rFonts w:ascii="Arial" w:hAnsi="Arial" w:cs="Arial"/>
          <w:lang w:val="en-GB"/>
        </w:rPr>
        <w:t>) to (iv) namely:</w:t>
      </w:r>
    </w:p>
    <w:p w:rsidR="009A2F8C" w:rsidRDefault="009A2F8C" w:rsidP="009A2F8C">
      <w:pPr>
        <w:pStyle w:val="ListParagraph"/>
        <w:rPr>
          <w:rFonts w:ascii="Arial" w:hAnsi="Arial" w:cs="Arial"/>
          <w:lang w:val="en-GB"/>
        </w:rPr>
      </w:pPr>
    </w:p>
    <w:p w:rsidR="009A2F8C" w:rsidRDefault="009A2F8C" w:rsidP="009A2F8C">
      <w:pPr>
        <w:pStyle w:val="ListParagraph"/>
        <w:widowControl w:val="0"/>
        <w:numPr>
          <w:ilvl w:val="0"/>
          <w:numId w:val="11"/>
        </w:numPr>
        <w:autoSpaceDE w:val="0"/>
        <w:autoSpaceDN w:val="0"/>
        <w:jc w:val="both"/>
        <w:rPr>
          <w:rFonts w:ascii="Arial" w:hAnsi="Arial" w:cs="Arial"/>
          <w:lang w:val="en-GB"/>
        </w:rPr>
      </w:pPr>
      <w:r>
        <w:rPr>
          <w:rFonts w:ascii="Arial" w:hAnsi="Arial" w:cs="Arial"/>
          <w:lang w:val="en-GB"/>
        </w:rPr>
        <w:t>The Ferguson certificate of title was granted based upon the said Plan which said plan was misleading to the Court in that it failed to show the proprietary interest of Pinewood Gardens Limited (In Liquidation) or that of any adjacent landowners, which interest would have been shown ha</w:t>
      </w:r>
      <w:r w:rsidR="00503A8D">
        <w:rPr>
          <w:rFonts w:ascii="Arial" w:hAnsi="Arial" w:cs="Arial"/>
          <w:lang w:val="en-GB"/>
        </w:rPr>
        <w:t>d</w:t>
      </w:r>
      <w:r>
        <w:rPr>
          <w:rFonts w:ascii="Arial" w:hAnsi="Arial" w:cs="Arial"/>
          <w:lang w:val="en-GB"/>
        </w:rPr>
        <w:t xml:space="preserve"> a recent survey been filed in support of the Petition. The Second Defendant knew or ought to have known that the aforesaid proprietary interests were not shown on the said Plan. This knowledge of a material particular was withheld from the Court.</w:t>
      </w:r>
    </w:p>
    <w:p w:rsidR="009A2F8C" w:rsidRDefault="009A2F8C" w:rsidP="009A2F8C">
      <w:pPr>
        <w:pStyle w:val="ListParagraph"/>
        <w:widowControl w:val="0"/>
        <w:autoSpaceDE w:val="0"/>
        <w:autoSpaceDN w:val="0"/>
        <w:ind w:left="1440"/>
        <w:jc w:val="both"/>
        <w:rPr>
          <w:rFonts w:ascii="Arial" w:hAnsi="Arial" w:cs="Arial"/>
          <w:lang w:val="en-GB"/>
        </w:rPr>
      </w:pPr>
    </w:p>
    <w:p w:rsidR="009A2F8C" w:rsidRDefault="009A2F8C" w:rsidP="009A2F8C">
      <w:pPr>
        <w:pStyle w:val="ListParagraph"/>
        <w:widowControl w:val="0"/>
        <w:numPr>
          <w:ilvl w:val="0"/>
          <w:numId w:val="11"/>
        </w:numPr>
        <w:autoSpaceDE w:val="0"/>
        <w:autoSpaceDN w:val="0"/>
        <w:jc w:val="both"/>
        <w:rPr>
          <w:rFonts w:ascii="Arial" w:hAnsi="Arial" w:cs="Arial"/>
          <w:lang w:val="en-GB"/>
        </w:rPr>
      </w:pPr>
      <w:r>
        <w:rPr>
          <w:rFonts w:ascii="Arial" w:hAnsi="Arial" w:cs="Arial"/>
          <w:lang w:val="en-GB"/>
        </w:rPr>
        <w:t>The Ferguson certificate of title was granted based upon an inaccurate and misleading description in the Petition in No. 10 of 1982 of the land sought to be quieted and in the conveyance dated 15</w:t>
      </w:r>
      <w:r w:rsidRPr="006022A0">
        <w:rPr>
          <w:rFonts w:ascii="Arial" w:hAnsi="Arial" w:cs="Arial"/>
          <w:vertAlign w:val="superscript"/>
          <w:lang w:val="en-GB"/>
        </w:rPr>
        <w:t>th</w:t>
      </w:r>
      <w:r>
        <w:rPr>
          <w:rFonts w:ascii="Arial" w:hAnsi="Arial" w:cs="Arial"/>
          <w:lang w:val="en-GB"/>
        </w:rPr>
        <w:t xml:space="preserve"> August 1984 of the land alleged to have been purchased by the Second Defendant. The Second Defendant knew or ought to have known that the said description was inaccurate and misleading. This knowledge of a material fact was withheld from the Court.</w:t>
      </w:r>
    </w:p>
    <w:p w:rsidR="009A2F8C" w:rsidRPr="00946A38"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0"/>
          <w:numId w:val="11"/>
        </w:numPr>
        <w:autoSpaceDE w:val="0"/>
        <w:autoSpaceDN w:val="0"/>
        <w:jc w:val="both"/>
        <w:rPr>
          <w:rFonts w:ascii="Arial" w:hAnsi="Arial" w:cs="Arial"/>
          <w:lang w:val="en-GB"/>
        </w:rPr>
      </w:pPr>
      <w:r>
        <w:rPr>
          <w:rFonts w:ascii="Arial" w:hAnsi="Arial" w:cs="Arial"/>
          <w:lang w:val="en-GB"/>
        </w:rPr>
        <w:t>The Ferguson certificate of title was sought by the Second Defendant as the Second Defendant knew or ought to have known that the First Defendant had no title to the said land.</w:t>
      </w:r>
    </w:p>
    <w:p w:rsidR="009A2F8C" w:rsidRPr="00946A38" w:rsidRDefault="009A2F8C" w:rsidP="009A2F8C">
      <w:pPr>
        <w:widowControl w:val="0"/>
        <w:autoSpaceDE w:val="0"/>
        <w:autoSpaceDN w:val="0"/>
        <w:jc w:val="both"/>
        <w:rPr>
          <w:rFonts w:ascii="Arial" w:hAnsi="Arial" w:cs="Arial"/>
          <w:lang w:val="en-GB"/>
        </w:rPr>
      </w:pPr>
    </w:p>
    <w:p w:rsidR="009A2F8C" w:rsidRDefault="009A2F8C" w:rsidP="009A2F8C">
      <w:pPr>
        <w:pStyle w:val="ListParagraph"/>
        <w:widowControl w:val="0"/>
        <w:numPr>
          <w:ilvl w:val="0"/>
          <w:numId w:val="11"/>
        </w:numPr>
        <w:autoSpaceDE w:val="0"/>
        <w:autoSpaceDN w:val="0"/>
        <w:jc w:val="both"/>
        <w:rPr>
          <w:rFonts w:ascii="Arial" w:hAnsi="Arial" w:cs="Arial"/>
          <w:lang w:val="en-GB"/>
        </w:rPr>
      </w:pPr>
      <w:r>
        <w:rPr>
          <w:rFonts w:ascii="Arial" w:hAnsi="Arial" w:cs="Arial"/>
          <w:lang w:val="en-GB"/>
        </w:rPr>
        <w:t>The Ferguson certificate of title was granted after the consent thereto given by the First Defendant. The Second Defendant knew or ought to have known that the First Defendant had no title to the said land which material knowledge was withheld from the Court by the Second Defendant.</w:t>
      </w:r>
    </w:p>
    <w:p w:rsidR="009A2F8C" w:rsidRPr="009A2F8C" w:rsidRDefault="009A2F8C" w:rsidP="009A2F8C">
      <w:pPr>
        <w:spacing w:line="360" w:lineRule="auto"/>
        <w:rPr>
          <w:rFonts w:ascii="Arial" w:hAnsi="Arial" w:cs="Arial"/>
          <w:lang w:val="en-GB"/>
        </w:rPr>
      </w:pPr>
    </w:p>
    <w:p w:rsidR="00AF3FBA" w:rsidRDefault="004D6CFA" w:rsidP="009A2F8C">
      <w:pPr>
        <w:pStyle w:val="ListParagraph"/>
        <w:widowControl w:val="0"/>
        <w:numPr>
          <w:ilvl w:val="0"/>
          <w:numId w:val="2"/>
        </w:numPr>
        <w:autoSpaceDE w:val="0"/>
        <w:autoSpaceDN w:val="0"/>
        <w:spacing w:line="360" w:lineRule="auto"/>
        <w:jc w:val="both"/>
        <w:rPr>
          <w:rFonts w:ascii="Arial" w:hAnsi="Arial" w:cs="Arial"/>
          <w:lang w:val="en-GB"/>
        </w:rPr>
      </w:pPr>
      <w:r w:rsidRPr="009A2F8C">
        <w:rPr>
          <w:rFonts w:ascii="Arial" w:hAnsi="Arial" w:cs="Arial"/>
          <w:lang w:val="en-GB"/>
        </w:rPr>
        <w:t>Arawak Homes seeks a</w:t>
      </w:r>
      <w:r w:rsidR="009A2F8C">
        <w:rPr>
          <w:rFonts w:ascii="Arial" w:hAnsi="Arial" w:cs="Arial"/>
          <w:lang w:val="en-GB"/>
        </w:rPr>
        <w:t xml:space="preserve"> declaration that the Ferguson c</w:t>
      </w:r>
      <w:r w:rsidRPr="009A2F8C">
        <w:rPr>
          <w:rFonts w:ascii="Arial" w:hAnsi="Arial" w:cs="Arial"/>
          <w:lang w:val="en-GB"/>
        </w:rPr>
        <w:t>er</w:t>
      </w:r>
      <w:r w:rsidR="009A2F8C">
        <w:rPr>
          <w:rFonts w:ascii="Arial" w:hAnsi="Arial" w:cs="Arial"/>
          <w:lang w:val="en-GB"/>
        </w:rPr>
        <w:t>tificate of t</w:t>
      </w:r>
      <w:r w:rsidRPr="009A2F8C">
        <w:rPr>
          <w:rFonts w:ascii="Arial" w:hAnsi="Arial" w:cs="Arial"/>
          <w:lang w:val="en-GB"/>
        </w:rPr>
        <w:t xml:space="preserve">itle granted to </w:t>
      </w:r>
      <w:proofErr w:type="spellStart"/>
      <w:r w:rsidRPr="009A2F8C">
        <w:rPr>
          <w:rFonts w:ascii="Arial" w:hAnsi="Arial" w:cs="Arial"/>
          <w:lang w:val="en-GB"/>
        </w:rPr>
        <w:t>Eleazer</w:t>
      </w:r>
      <w:proofErr w:type="spellEnd"/>
      <w:r w:rsidRPr="009A2F8C">
        <w:rPr>
          <w:rFonts w:ascii="Arial" w:hAnsi="Arial" w:cs="Arial"/>
          <w:lang w:val="en-GB"/>
        </w:rPr>
        <w:t xml:space="preserve"> Ferguson to the said land is null and void and of no effect.</w:t>
      </w:r>
    </w:p>
    <w:p w:rsidR="00553346" w:rsidRDefault="00553346" w:rsidP="00553346">
      <w:pPr>
        <w:pStyle w:val="ListParagraph"/>
        <w:widowControl w:val="0"/>
        <w:autoSpaceDE w:val="0"/>
        <w:autoSpaceDN w:val="0"/>
        <w:spacing w:line="360" w:lineRule="auto"/>
        <w:jc w:val="both"/>
        <w:rPr>
          <w:rFonts w:ascii="Arial" w:hAnsi="Arial" w:cs="Arial"/>
          <w:lang w:val="en-GB"/>
        </w:rPr>
      </w:pPr>
    </w:p>
    <w:p w:rsidR="004D6CFA" w:rsidRDefault="004D6CFA" w:rsidP="00553346">
      <w:pPr>
        <w:pStyle w:val="ListParagraph"/>
        <w:widowControl w:val="0"/>
        <w:numPr>
          <w:ilvl w:val="0"/>
          <w:numId w:val="2"/>
        </w:numPr>
        <w:autoSpaceDE w:val="0"/>
        <w:autoSpaceDN w:val="0"/>
        <w:spacing w:line="360" w:lineRule="auto"/>
        <w:jc w:val="both"/>
        <w:rPr>
          <w:rFonts w:ascii="Arial" w:hAnsi="Arial" w:cs="Arial"/>
          <w:lang w:val="en-GB"/>
        </w:rPr>
      </w:pPr>
      <w:r w:rsidRPr="00553346">
        <w:rPr>
          <w:rFonts w:ascii="Arial" w:hAnsi="Arial" w:cs="Arial"/>
          <w:lang w:val="en-GB"/>
        </w:rPr>
        <w:lastRenderedPageBreak/>
        <w:t xml:space="preserve">As stated earlier, the </w:t>
      </w:r>
      <w:r w:rsidR="00553346">
        <w:rPr>
          <w:rFonts w:ascii="Arial" w:hAnsi="Arial" w:cs="Arial"/>
          <w:lang w:val="en-GB"/>
        </w:rPr>
        <w:t>2</w:t>
      </w:r>
      <w:r w:rsidR="00553346" w:rsidRPr="00553346">
        <w:rPr>
          <w:rFonts w:ascii="Arial" w:hAnsi="Arial" w:cs="Arial"/>
          <w:vertAlign w:val="superscript"/>
          <w:lang w:val="en-GB"/>
        </w:rPr>
        <w:t>nd</w:t>
      </w:r>
      <w:r w:rsidR="00553346">
        <w:rPr>
          <w:rFonts w:ascii="Arial" w:hAnsi="Arial" w:cs="Arial"/>
          <w:lang w:val="en-GB"/>
        </w:rPr>
        <w:t xml:space="preserve"> Defendant</w:t>
      </w:r>
      <w:r w:rsidRPr="00553346">
        <w:rPr>
          <w:rFonts w:ascii="Arial" w:hAnsi="Arial" w:cs="Arial"/>
          <w:lang w:val="en-GB"/>
        </w:rPr>
        <w:t xml:space="preserve"> filed </w:t>
      </w:r>
      <w:r w:rsidR="00553346">
        <w:rPr>
          <w:rFonts w:ascii="Arial" w:hAnsi="Arial" w:cs="Arial"/>
          <w:lang w:val="en-GB"/>
        </w:rPr>
        <w:t>an</w:t>
      </w:r>
      <w:r w:rsidRPr="00553346">
        <w:rPr>
          <w:rFonts w:ascii="Arial" w:hAnsi="Arial" w:cs="Arial"/>
          <w:lang w:val="en-GB"/>
        </w:rPr>
        <w:t xml:space="preserve"> Amende</w:t>
      </w:r>
      <w:r w:rsidR="00DB0942" w:rsidRPr="00553346">
        <w:rPr>
          <w:rFonts w:ascii="Arial" w:hAnsi="Arial" w:cs="Arial"/>
          <w:lang w:val="en-GB"/>
        </w:rPr>
        <w:t>d Defence on 10 February 1986</w:t>
      </w:r>
      <w:r w:rsidRPr="00553346">
        <w:rPr>
          <w:rFonts w:ascii="Arial" w:hAnsi="Arial" w:cs="Arial"/>
          <w:lang w:val="en-GB"/>
        </w:rPr>
        <w:t>.</w:t>
      </w:r>
      <w:r w:rsidR="00553346">
        <w:rPr>
          <w:rFonts w:ascii="Arial" w:hAnsi="Arial" w:cs="Arial"/>
          <w:lang w:val="en-GB"/>
        </w:rPr>
        <w:t xml:space="preserve"> Arawak Homes’ Re-Amended Statement of Claim was filed on 21</w:t>
      </w:r>
      <w:r w:rsidR="00A05C6A">
        <w:rPr>
          <w:rFonts w:ascii="Arial" w:hAnsi="Arial" w:cs="Arial"/>
          <w:lang w:val="en-GB"/>
        </w:rPr>
        <w:t xml:space="preserve"> May 1986 without leave of the c</w:t>
      </w:r>
      <w:r w:rsidR="00553346">
        <w:rPr>
          <w:rFonts w:ascii="Arial" w:hAnsi="Arial" w:cs="Arial"/>
          <w:lang w:val="en-GB"/>
        </w:rPr>
        <w:t xml:space="preserve">ourt but it is too late to raise </w:t>
      </w:r>
      <w:r w:rsidR="00433579">
        <w:rPr>
          <w:rFonts w:ascii="Arial" w:hAnsi="Arial" w:cs="Arial"/>
          <w:lang w:val="en-GB"/>
        </w:rPr>
        <w:t>any issue of</w:t>
      </w:r>
      <w:r w:rsidR="00553346">
        <w:rPr>
          <w:rFonts w:ascii="Arial" w:hAnsi="Arial" w:cs="Arial"/>
          <w:lang w:val="en-GB"/>
        </w:rPr>
        <w:t xml:space="preserve"> procedural irregularity. Be that as it may, the 2</w:t>
      </w:r>
      <w:r w:rsidR="00553346" w:rsidRPr="00553346">
        <w:rPr>
          <w:rFonts w:ascii="Arial" w:hAnsi="Arial" w:cs="Arial"/>
          <w:vertAlign w:val="superscript"/>
          <w:lang w:val="en-GB"/>
        </w:rPr>
        <w:t>nd</w:t>
      </w:r>
      <w:r w:rsidR="00553346">
        <w:rPr>
          <w:rFonts w:ascii="Arial" w:hAnsi="Arial" w:cs="Arial"/>
          <w:lang w:val="en-GB"/>
        </w:rPr>
        <w:t xml:space="preserve"> Defendant did not answer the Re-Amended Statement of Claim. But, as I indicated earlier, a defendant does not have to. That being said, the Amended Defence filed on 10 February 1986 is the 2</w:t>
      </w:r>
      <w:r w:rsidR="00553346" w:rsidRPr="00553346">
        <w:rPr>
          <w:rFonts w:ascii="Arial" w:hAnsi="Arial" w:cs="Arial"/>
          <w:vertAlign w:val="superscript"/>
          <w:lang w:val="en-GB"/>
        </w:rPr>
        <w:t>nd</w:t>
      </w:r>
      <w:r w:rsidR="00553346">
        <w:rPr>
          <w:rFonts w:ascii="Arial" w:hAnsi="Arial" w:cs="Arial"/>
          <w:lang w:val="en-GB"/>
        </w:rPr>
        <w:t xml:space="preserve"> Defendant’s pleading. Other than the Amended Defence, the 2</w:t>
      </w:r>
      <w:r w:rsidR="00553346" w:rsidRPr="00553346">
        <w:rPr>
          <w:rFonts w:ascii="Arial" w:hAnsi="Arial" w:cs="Arial"/>
          <w:vertAlign w:val="superscript"/>
          <w:lang w:val="en-GB"/>
        </w:rPr>
        <w:t>nd</w:t>
      </w:r>
      <w:r w:rsidR="00553346">
        <w:rPr>
          <w:rFonts w:ascii="Arial" w:hAnsi="Arial" w:cs="Arial"/>
          <w:lang w:val="en-GB"/>
        </w:rPr>
        <w:t xml:space="preserve"> Defendant </w:t>
      </w:r>
      <w:r w:rsidR="005508C7">
        <w:rPr>
          <w:rFonts w:ascii="Arial" w:hAnsi="Arial" w:cs="Arial"/>
          <w:lang w:val="en-GB"/>
        </w:rPr>
        <w:t>has not put in any evidence, affidavit or documentary</w:t>
      </w:r>
      <w:r w:rsidR="00642C72">
        <w:rPr>
          <w:rFonts w:ascii="Arial" w:hAnsi="Arial" w:cs="Arial"/>
          <w:lang w:val="en-GB"/>
        </w:rPr>
        <w:t>.</w:t>
      </w:r>
    </w:p>
    <w:p w:rsidR="005508C7" w:rsidRPr="005508C7" w:rsidRDefault="005508C7" w:rsidP="005508C7">
      <w:pPr>
        <w:pStyle w:val="ListParagraph"/>
        <w:rPr>
          <w:rFonts w:ascii="Arial" w:hAnsi="Arial" w:cs="Arial"/>
          <w:lang w:val="en-GB"/>
        </w:rPr>
      </w:pPr>
    </w:p>
    <w:p w:rsidR="007A76A1" w:rsidRDefault="003C4302" w:rsidP="007A76A1">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P</w:t>
      </w:r>
      <w:r w:rsidR="007A76A1">
        <w:rPr>
          <w:rFonts w:ascii="Arial" w:hAnsi="Arial" w:cs="Arial"/>
          <w:lang w:val="en-GB"/>
        </w:rPr>
        <w:t>aragraph 2</w:t>
      </w:r>
      <w:r>
        <w:rPr>
          <w:rFonts w:ascii="Arial" w:hAnsi="Arial" w:cs="Arial"/>
          <w:lang w:val="en-GB"/>
        </w:rPr>
        <w:t xml:space="preserve"> of the Amended Defence</w:t>
      </w:r>
      <w:r w:rsidR="00CF2916">
        <w:rPr>
          <w:rFonts w:ascii="Arial" w:hAnsi="Arial" w:cs="Arial"/>
          <w:lang w:val="en-GB"/>
        </w:rPr>
        <w:t xml:space="preserve"> states that “the 1</w:t>
      </w:r>
      <w:r w:rsidR="00CF2916" w:rsidRPr="00CF2916">
        <w:rPr>
          <w:rFonts w:ascii="Arial" w:hAnsi="Arial" w:cs="Arial"/>
          <w:vertAlign w:val="superscript"/>
          <w:lang w:val="en-GB"/>
        </w:rPr>
        <w:t>st</w:t>
      </w:r>
      <w:r w:rsidR="00CF2916">
        <w:rPr>
          <w:rFonts w:ascii="Arial" w:hAnsi="Arial" w:cs="Arial"/>
          <w:lang w:val="en-GB"/>
        </w:rPr>
        <w:t xml:space="preserve"> Defendant was the Petitioner and the 2</w:t>
      </w:r>
      <w:r w:rsidR="00CF2916" w:rsidRPr="00CF2916">
        <w:rPr>
          <w:rFonts w:ascii="Arial" w:hAnsi="Arial" w:cs="Arial"/>
          <w:vertAlign w:val="superscript"/>
          <w:lang w:val="en-GB"/>
        </w:rPr>
        <w:t>nd</w:t>
      </w:r>
      <w:r w:rsidR="00CF2916">
        <w:rPr>
          <w:rFonts w:ascii="Arial" w:hAnsi="Arial" w:cs="Arial"/>
          <w:lang w:val="en-GB"/>
        </w:rPr>
        <w:t xml:space="preserve"> Defendant was an adverse claimant in Equity Action No. 10 of 1982 in which the 1</w:t>
      </w:r>
      <w:r w:rsidR="00CF2916" w:rsidRPr="00CF2916">
        <w:rPr>
          <w:rFonts w:ascii="Arial" w:hAnsi="Arial" w:cs="Arial"/>
          <w:vertAlign w:val="superscript"/>
          <w:lang w:val="en-GB"/>
        </w:rPr>
        <w:t>st</w:t>
      </w:r>
      <w:r w:rsidR="00CF2916">
        <w:rPr>
          <w:rFonts w:ascii="Arial" w:hAnsi="Arial" w:cs="Arial"/>
          <w:lang w:val="en-GB"/>
        </w:rPr>
        <w:t xml:space="preserve"> Defendant claimed to be the owner of the fee simple estate</w:t>
      </w:r>
      <w:r w:rsidR="00CF2916" w:rsidRPr="00CF2916">
        <w:rPr>
          <w:rFonts w:ascii="Arial" w:hAnsi="Arial" w:cs="Arial"/>
          <w:b/>
          <w:lang w:val="en-GB"/>
        </w:rPr>
        <w:t xml:space="preserve"> in the land referred to in paragraphs 3 and 4 of the Amended Statement of Claim</w:t>
      </w:r>
      <w:r w:rsidR="00CF2916">
        <w:rPr>
          <w:rFonts w:ascii="Arial" w:hAnsi="Arial" w:cs="Arial"/>
          <w:lang w:val="en-GB"/>
        </w:rPr>
        <w:t xml:space="preserve"> …” [Emphasis added].</w:t>
      </w:r>
      <w:r w:rsidR="00A11555">
        <w:rPr>
          <w:rFonts w:ascii="Arial" w:hAnsi="Arial" w:cs="Arial"/>
          <w:lang w:val="en-GB"/>
        </w:rPr>
        <w:t xml:space="preserve"> In my opinion, this suggests that there is no dispute as to the lands in question, as is now being alleged by the 2</w:t>
      </w:r>
      <w:r w:rsidR="00A11555" w:rsidRPr="00A11555">
        <w:rPr>
          <w:rFonts w:ascii="Arial" w:hAnsi="Arial" w:cs="Arial"/>
          <w:vertAlign w:val="superscript"/>
          <w:lang w:val="en-GB"/>
        </w:rPr>
        <w:t>nd</w:t>
      </w:r>
      <w:r w:rsidR="00A11555">
        <w:rPr>
          <w:rFonts w:ascii="Arial" w:hAnsi="Arial" w:cs="Arial"/>
          <w:lang w:val="en-GB"/>
        </w:rPr>
        <w:t xml:space="preserve"> Defendant.</w:t>
      </w:r>
    </w:p>
    <w:p w:rsidR="00CF2916" w:rsidRPr="00CF2916" w:rsidRDefault="00CF2916" w:rsidP="00CF2916">
      <w:pPr>
        <w:pStyle w:val="ListParagraph"/>
        <w:rPr>
          <w:rFonts w:ascii="Arial" w:hAnsi="Arial" w:cs="Arial"/>
          <w:lang w:val="en-GB"/>
        </w:rPr>
      </w:pPr>
    </w:p>
    <w:p w:rsidR="00CF2916" w:rsidRPr="00A11555" w:rsidRDefault="00CF2916" w:rsidP="00A11555">
      <w:pPr>
        <w:pStyle w:val="ListParagraph"/>
        <w:widowControl w:val="0"/>
        <w:numPr>
          <w:ilvl w:val="0"/>
          <w:numId w:val="2"/>
        </w:numPr>
        <w:autoSpaceDE w:val="0"/>
        <w:autoSpaceDN w:val="0"/>
        <w:spacing w:line="360" w:lineRule="auto"/>
        <w:jc w:val="both"/>
        <w:rPr>
          <w:rFonts w:ascii="Arial" w:hAnsi="Arial" w:cs="Arial"/>
          <w:lang w:val="en-GB"/>
        </w:rPr>
      </w:pPr>
      <w:r w:rsidRPr="00A11555">
        <w:rPr>
          <w:rFonts w:ascii="Arial" w:hAnsi="Arial" w:cs="Arial"/>
          <w:lang w:val="en-GB"/>
        </w:rPr>
        <w:t>A</w:t>
      </w:r>
      <w:r w:rsidR="005F1A22" w:rsidRPr="00A11555">
        <w:rPr>
          <w:rFonts w:ascii="Arial" w:hAnsi="Arial" w:cs="Arial"/>
          <w:lang w:val="en-GB"/>
        </w:rPr>
        <w:t>t paragraph 3, the 1</w:t>
      </w:r>
      <w:r w:rsidR="005F1A22" w:rsidRPr="00A11555">
        <w:rPr>
          <w:rFonts w:ascii="Arial" w:hAnsi="Arial" w:cs="Arial"/>
          <w:vertAlign w:val="superscript"/>
          <w:lang w:val="en-GB"/>
        </w:rPr>
        <w:t>st</w:t>
      </w:r>
      <w:r w:rsidR="005F1A22" w:rsidRPr="00A11555">
        <w:rPr>
          <w:rFonts w:ascii="Arial" w:hAnsi="Arial" w:cs="Arial"/>
          <w:lang w:val="en-GB"/>
        </w:rPr>
        <w:t xml:space="preserve"> and 2</w:t>
      </w:r>
      <w:r w:rsidR="005F1A22" w:rsidRPr="00A11555">
        <w:rPr>
          <w:rFonts w:ascii="Arial" w:hAnsi="Arial" w:cs="Arial"/>
          <w:vertAlign w:val="superscript"/>
          <w:lang w:val="en-GB"/>
        </w:rPr>
        <w:t>nd</w:t>
      </w:r>
      <w:r w:rsidR="005F1A22" w:rsidRPr="00A11555">
        <w:rPr>
          <w:rFonts w:ascii="Arial" w:hAnsi="Arial" w:cs="Arial"/>
          <w:lang w:val="en-GB"/>
        </w:rPr>
        <w:t xml:space="preserve"> Defendants alleged that the documents disclosed in paragraph 2 of Arawak Homes’ Re-Amended Statement of Claim are only a portion of the documents of title in the knowledge of Arawak Homes and Pinewood. In the said paragraph 3, they itemised a litany of ot</w:t>
      </w:r>
      <w:r w:rsidR="00A11555">
        <w:rPr>
          <w:rFonts w:ascii="Arial" w:hAnsi="Arial" w:cs="Arial"/>
          <w:lang w:val="en-GB"/>
        </w:rPr>
        <w:t>her documents</w:t>
      </w:r>
      <w:r w:rsidR="003376B3">
        <w:rPr>
          <w:rFonts w:ascii="Arial" w:hAnsi="Arial" w:cs="Arial"/>
          <w:lang w:val="en-GB"/>
        </w:rPr>
        <w:t>. I must confess that I have great difficulty appreciating the relevance of these documents</w:t>
      </w:r>
      <w:r w:rsidR="00283B15">
        <w:rPr>
          <w:rFonts w:ascii="Arial" w:hAnsi="Arial" w:cs="Arial"/>
          <w:lang w:val="en-GB"/>
        </w:rPr>
        <w:t xml:space="preserve"> since the 2</w:t>
      </w:r>
      <w:r w:rsidR="00283B15" w:rsidRPr="00283B15">
        <w:rPr>
          <w:rFonts w:ascii="Arial" w:hAnsi="Arial" w:cs="Arial"/>
          <w:vertAlign w:val="superscript"/>
          <w:lang w:val="en-GB"/>
        </w:rPr>
        <w:t>nd</w:t>
      </w:r>
      <w:r w:rsidR="00283B15">
        <w:rPr>
          <w:rFonts w:ascii="Arial" w:hAnsi="Arial" w:cs="Arial"/>
          <w:lang w:val="en-GB"/>
        </w:rPr>
        <w:t xml:space="preserve"> Defendant can show its root of title in a certificate of title granted in 1985 under the QTA whereas Arawak Homes’ title stems from a conveyance, an assignment of an equity of redemption which predates the 2</w:t>
      </w:r>
      <w:r w:rsidR="00283B15" w:rsidRPr="00283B15">
        <w:rPr>
          <w:rFonts w:ascii="Arial" w:hAnsi="Arial" w:cs="Arial"/>
          <w:vertAlign w:val="superscript"/>
          <w:lang w:val="en-GB"/>
        </w:rPr>
        <w:t>nd</w:t>
      </w:r>
      <w:r w:rsidR="00283B15">
        <w:rPr>
          <w:rFonts w:ascii="Arial" w:hAnsi="Arial" w:cs="Arial"/>
          <w:lang w:val="en-GB"/>
        </w:rPr>
        <w:t xml:space="preserve"> Defendant’s conveyance as well as its root certificate of title.</w:t>
      </w:r>
    </w:p>
    <w:p w:rsidR="00A11555" w:rsidRPr="00A11555" w:rsidRDefault="00A11555" w:rsidP="003376B3">
      <w:pPr>
        <w:widowControl w:val="0"/>
        <w:autoSpaceDE w:val="0"/>
        <w:autoSpaceDN w:val="0"/>
        <w:jc w:val="both"/>
        <w:rPr>
          <w:rFonts w:ascii="Arial" w:hAnsi="Arial" w:cs="Arial"/>
          <w:lang w:val="en-GB"/>
        </w:rPr>
      </w:pPr>
    </w:p>
    <w:p w:rsidR="00CF2916" w:rsidRDefault="00DB0942" w:rsidP="00CF2916">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At p</w:t>
      </w:r>
      <w:r w:rsidR="00DF4575">
        <w:rPr>
          <w:rFonts w:ascii="Arial" w:hAnsi="Arial" w:cs="Arial"/>
          <w:lang w:val="en-GB"/>
        </w:rPr>
        <w:t xml:space="preserve">aragraph 7 of the Defence, the </w:t>
      </w:r>
      <w:r w:rsidR="00952804">
        <w:rPr>
          <w:rFonts w:ascii="Arial" w:hAnsi="Arial" w:cs="Arial"/>
          <w:lang w:val="en-GB"/>
        </w:rPr>
        <w:t>1</w:t>
      </w:r>
      <w:r w:rsidR="00952804" w:rsidRPr="00952804">
        <w:rPr>
          <w:rFonts w:ascii="Arial" w:hAnsi="Arial" w:cs="Arial"/>
          <w:vertAlign w:val="superscript"/>
          <w:lang w:val="en-GB"/>
        </w:rPr>
        <w:t>st</w:t>
      </w:r>
      <w:r w:rsidR="00952804">
        <w:rPr>
          <w:rFonts w:ascii="Arial" w:hAnsi="Arial" w:cs="Arial"/>
          <w:lang w:val="en-GB"/>
        </w:rPr>
        <w:t xml:space="preserve"> and 2</w:t>
      </w:r>
      <w:r w:rsidR="00952804" w:rsidRPr="00952804">
        <w:rPr>
          <w:rFonts w:ascii="Arial" w:hAnsi="Arial" w:cs="Arial"/>
          <w:vertAlign w:val="superscript"/>
          <w:lang w:val="en-GB"/>
        </w:rPr>
        <w:t>nd</w:t>
      </w:r>
      <w:r w:rsidR="00952804">
        <w:rPr>
          <w:rFonts w:ascii="Arial" w:hAnsi="Arial" w:cs="Arial"/>
          <w:lang w:val="en-GB"/>
        </w:rPr>
        <w:t xml:space="preserve"> </w:t>
      </w:r>
      <w:r w:rsidR="00DF4575">
        <w:rPr>
          <w:rFonts w:ascii="Arial" w:hAnsi="Arial" w:cs="Arial"/>
          <w:lang w:val="en-GB"/>
        </w:rPr>
        <w:t>D</w:t>
      </w:r>
      <w:r w:rsidRPr="00CF2916">
        <w:rPr>
          <w:rFonts w:ascii="Arial" w:hAnsi="Arial" w:cs="Arial"/>
          <w:lang w:val="en-GB"/>
        </w:rPr>
        <w:t xml:space="preserve">efendants alleged that </w:t>
      </w:r>
      <w:r w:rsidR="005F1A22" w:rsidRPr="00CF2916">
        <w:rPr>
          <w:rFonts w:ascii="Arial" w:hAnsi="Arial" w:cs="Arial"/>
          <w:lang w:val="en-GB"/>
        </w:rPr>
        <w:t xml:space="preserve">Thaddeus Johnson’s Petition was based on </w:t>
      </w:r>
      <w:r w:rsidR="009E1521" w:rsidRPr="00CF2916">
        <w:rPr>
          <w:rFonts w:ascii="Arial" w:hAnsi="Arial" w:cs="Arial"/>
          <w:lang w:val="en-GB"/>
        </w:rPr>
        <w:t>actual possession and cultivation of parts of the land from 1933 to 1976</w:t>
      </w:r>
      <w:r w:rsidRPr="00CF2916">
        <w:rPr>
          <w:rFonts w:ascii="Arial" w:hAnsi="Arial" w:cs="Arial"/>
          <w:lang w:val="en-GB"/>
        </w:rPr>
        <w:t>.</w:t>
      </w:r>
      <w:r w:rsidR="00153197" w:rsidRPr="00CF2916">
        <w:rPr>
          <w:rFonts w:ascii="Arial" w:hAnsi="Arial" w:cs="Arial"/>
          <w:lang w:val="en-GB"/>
        </w:rPr>
        <w:t xml:space="preserve"> In effect, Thaddeus Johnson claimed to be in open and undisturbed </w:t>
      </w:r>
      <w:r w:rsidR="00780293" w:rsidRPr="00CF2916">
        <w:rPr>
          <w:rFonts w:ascii="Arial" w:hAnsi="Arial" w:cs="Arial"/>
          <w:lang w:val="en-GB"/>
        </w:rPr>
        <w:t>possession of the land from 1933.</w:t>
      </w:r>
    </w:p>
    <w:p w:rsidR="007126B8" w:rsidRPr="007126B8" w:rsidRDefault="007126B8" w:rsidP="007126B8">
      <w:pPr>
        <w:pStyle w:val="ListParagraph"/>
        <w:rPr>
          <w:rFonts w:ascii="Arial" w:hAnsi="Arial" w:cs="Arial"/>
          <w:lang w:val="en-GB"/>
        </w:rPr>
      </w:pPr>
    </w:p>
    <w:p w:rsidR="007126B8" w:rsidRPr="001D42E5" w:rsidRDefault="007126B8" w:rsidP="007126B8">
      <w:pPr>
        <w:pStyle w:val="ListParagraph"/>
        <w:widowControl w:val="0"/>
        <w:autoSpaceDE w:val="0"/>
        <w:autoSpaceDN w:val="0"/>
        <w:spacing w:line="360" w:lineRule="auto"/>
        <w:jc w:val="both"/>
        <w:rPr>
          <w:rFonts w:ascii="Arial" w:hAnsi="Arial" w:cs="Arial"/>
          <w:lang w:val="en-GB"/>
        </w:rPr>
      </w:pPr>
    </w:p>
    <w:p w:rsidR="000A72C9" w:rsidRDefault="000A72C9" w:rsidP="00CF2916">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At paragraph 9</w:t>
      </w:r>
      <w:r w:rsidR="00DB0942" w:rsidRPr="00CF2916">
        <w:rPr>
          <w:rFonts w:ascii="Arial" w:hAnsi="Arial" w:cs="Arial"/>
          <w:lang w:val="en-GB"/>
        </w:rPr>
        <w:t>,</w:t>
      </w:r>
      <w:r w:rsidR="009E1521" w:rsidRPr="00CF2916">
        <w:rPr>
          <w:rFonts w:ascii="Arial" w:hAnsi="Arial" w:cs="Arial"/>
          <w:lang w:val="en-GB"/>
        </w:rPr>
        <w:t xml:space="preserve"> the 2</w:t>
      </w:r>
      <w:r w:rsidR="009E1521" w:rsidRPr="00CF2916">
        <w:rPr>
          <w:rFonts w:ascii="Arial" w:hAnsi="Arial" w:cs="Arial"/>
          <w:vertAlign w:val="superscript"/>
          <w:lang w:val="en-GB"/>
        </w:rPr>
        <w:t>nd</w:t>
      </w:r>
      <w:r w:rsidR="009E1521" w:rsidRPr="00CF2916">
        <w:rPr>
          <w:rFonts w:ascii="Arial" w:hAnsi="Arial" w:cs="Arial"/>
          <w:lang w:val="en-GB"/>
        </w:rPr>
        <w:t xml:space="preserve"> Defendant averred</w:t>
      </w:r>
      <w:r w:rsidRPr="00CF2916">
        <w:rPr>
          <w:rFonts w:ascii="Arial" w:hAnsi="Arial" w:cs="Arial"/>
          <w:lang w:val="en-GB"/>
        </w:rPr>
        <w:t xml:space="preserve"> that Arawak Homes has no </w:t>
      </w:r>
      <w:r w:rsidRPr="00CF2916">
        <w:rPr>
          <w:rFonts w:ascii="Arial" w:hAnsi="Arial" w:cs="Arial"/>
          <w:i/>
          <w:lang w:val="en-GB"/>
        </w:rPr>
        <w:t xml:space="preserve">locus </w:t>
      </w:r>
      <w:proofErr w:type="spellStart"/>
      <w:r w:rsidRPr="00CF2916">
        <w:rPr>
          <w:rFonts w:ascii="Arial" w:hAnsi="Arial" w:cs="Arial"/>
          <w:i/>
          <w:lang w:val="en-GB"/>
        </w:rPr>
        <w:t>standi</w:t>
      </w:r>
      <w:proofErr w:type="spellEnd"/>
      <w:r w:rsidRPr="00CF2916">
        <w:rPr>
          <w:rFonts w:ascii="Arial" w:hAnsi="Arial" w:cs="Arial"/>
          <w:lang w:val="en-GB"/>
        </w:rPr>
        <w:t xml:space="preserve"> to impeach the Certificates of Title in Action No. 10 of 1982 but even if Arawak Homes has a proprietary interest in the subject land that interest was not a fee simple estate because Arawak Homes purported to convey that estate to the Royal Bank of Canada by way of a legal mortgage prior to the commencement of this action, by reason whereby the 1</w:t>
      </w:r>
      <w:r w:rsidRPr="00CF2916">
        <w:rPr>
          <w:rFonts w:ascii="Arial" w:hAnsi="Arial" w:cs="Arial"/>
          <w:vertAlign w:val="superscript"/>
          <w:lang w:val="en-GB"/>
        </w:rPr>
        <w:t>st</w:t>
      </w:r>
      <w:r w:rsidRPr="00CF2916">
        <w:rPr>
          <w:rFonts w:ascii="Arial" w:hAnsi="Arial" w:cs="Arial"/>
          <w:lang w:val="en-GB"/>
        </w:rPr>
        <w:t xml:space="preserve"> and 2</w:t>
      </w:r>
      <w:r w:rsidRPr="00CF2916">
        <w:rPr>
          <w:rFonts w:ascii="Arial" w:hAnsi="Arial" w:cs="Arial"/>
          <w:vertAlign w:val="superscript"/>
          <w:lang w:val="en-GB"/>
        </w:rPr>
        <w:t>nd</w:t>
      </w:r>
      <w:r w:rsidR="00A05C6A">
        <w:rPr>
          <w:rFonts w:ascii="Arial" w:hAnsi="Arial" w:cs="Arial"/>
          <w:lang w:val="en-GB"/>
        </w:rPr>
        <w:t xml:space="preserve"> D</w:t>
      </w:r>
      <w:r w:rsidRPr="00CF2916">
        <w:rPr>
          <w:rFonts w:ascii="Arial" w:hAnsi="Arial" w:cs="Arial"/>
          <w:lang w:val="en-GB"/>
        </w:rPr>
        <w:t>efendants deny paragraph 1 of the said Amended Defence.</w:t>
      </w:r>
      <w:r w:rsidR="007B72A3">
        <w:rPr>
          <w:rFonts w:ascii="Arial" w:hAnsi="Arial" w:cs="Arial"/>
          <w:lang w:val="en-GB"/>
        </w:rPr>
        <w:t xml:space="preserve"> Both of these matters have already been determined by the </w:t>
      </w:r>
      <w:r w:rsidR="009E0D91">
        <w:rPr>
          <w:rFonts w:ascii="Arial" w:hAnsi="Arial" w:cs="Arial"/>
          <w:lang w:val="en-GB"/>
        </w:rPr>
        <w:t>c</w:t>
      </w:r>
      <w:r w:rsidR="00F92C11">
        <w:rPr>
          <w:rFonts w:ascii="Arial" w:hAnsi="Arial" w:cs="Arial"/>
          <w:lang w:val="en-GB"/>
        </w:rPr>
        <w:t>ourt</w:t>
      </w:r>
      <w:r w:rsidR="000C7AB4">
        <w:rPr>
          <w:rFonts w:ascii="Arial" w:hAnsi="Arial" w:cs="Arial"/>
          <w:lang w:val="en-GB"/>
        </w:rPr>
        <w:t>s</w:t>
      </w:r>
      <w:r w:rsidR="00F92C11">
        <w:rPr>
          <w:rFonts w:ascii="Arial" w:hAnsi="Arial" w:cs="Arial"/>
          <w:lang w:val="en-GB"/>
        </w:rPr>
        <w:t xml:space="preserve"> and as such, do not warrant my</w:t>
      </w:r>
      <w:r w:rsidR="00AA54D4">
        <w:rPr>
          <w:rFonts w:ascii="Arial" w:hAnsi="Arial" w:cs="Arial"/>
          <w:lang w:val="en-GB"/>
        </w:rPr>
        <w:t xml:space="preserve"> further</w:t>
      </w:r>
      <w:r w:rsidR="00F92C11">
        <w:rPr>
          <w:rFonts w:ascii="Arial" w:hAnsi="Arial" w:cs="Arial"/>
          <w:lang w:val="en-GB"/>
        </w:rPr>
        <w:t xml:space="preserve"> consideration.</w:t>
      </w:r>
    </w:p>
    <w:p w:rsidR="00CF2916" w:rsidRPr="00CF2916" w:rsidRDefault="00CF2916" w:rsidP="00AA54D4">
      <w:pPr>
        <w:rPr>
          <w:rFonts w:ascii="Arial" w:hAnsi="Arial" w:cs="Arial"/>
          <w:lang w:val="en-GB"/>
        </w:rPr>
      </w:pPr>
    </w:p>
    <w:p w:rsidR="00CF2916" w:rsidRPr="00CF2916" w:rsidRDefault="00CF2916" w:rsidP="00CF2916">
      <w:pPr>
        <w:spacing w:line="360" w:lineRule="auto"/>
        <w:rPr>
          <w:rFonts w:ascii="Arial" w:hAnsi="Arial" w:cs="Arial"/>
          <w:b/>
          <w:lang w:val="en-GB"/>
        </w:rPr>
      </w:pPr>
      <w:r>
        <w:rPr>
          <w:rFonts w:ascii="Arial" w:hAnsi="Arial" w:cs="Arial"/>
          <w:b/>
          <w:lang w:val="en-GB"/>
        </w:rPr>
        <w:t>Discussion</w:t>
      </w:r>
    </w:p>
    <w:p w:rsidR="0029669D" w:rsidRPr="0029669D" w:rsidRDefault="00E26632" w:rsidP="0029669D">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 xml:space="preserve">Learned Counsel </w:t>
      </w:r>
      <w:proofErr w:type="spellStart"/>
      <w:r w:rsidRPr="00CF2916">
        <w:rPr>
          <w:rFonts w:ascii="Arial" w:hAnsi="Arial" w:cs="Arial"/>
          <w:lang w:val="en-GB"/>
        </w:rPr>
        <w:t>Mr.</w:t>
      </w:r>
      <w:proofErr w:type="spellEnd"/>
      <w:r w:rsidRPr="00CF2916">
        <w:rPr>
          <w:rFonts w:ascii="Arial" w:hAnsi="Arial" w:cs="Arial"/>
          <w:lang w:val="en-GB"/>
        </w:rPr>
        <w:t xml:space="preserve"> Martin </w:t>
      </w:r>
      <w:r w:rsidR="007363E4" w:rsidRPr="00CF2916">
        <w:rPr>
          <w:rFonts w:ascii="Arial" w:hAnsi="Arial" w:cs="Arial"/>
          <w:lang w:val="en-GB"/>
        </w:rPr>
        <w:t xml:space="preserve">submitted that the principal issue for consideration is whether </w:t>
      </w:r>
      <w:proofErr w:type="spellStart"/>
      <w:r w:rsidR="00AA54D4">
        <w:rPr>
          <w:rFonts w:ascii="Arial" w:hAnsi="Arial" w:cs="Arial"/>
          <w:lang w:val="en-GB"/>
        </w:rPr>
        <w:t>Eleazo</w:t>
      </w:r>
      <w:r w:rsidRPr="00CF2916">
        <w:rPr>
          <w:rFonts w:ascii="Arial" w:hAnsi="Arial" w:cs="Arial"/>
          <w:lang w:val="en-GB"/>
        </w:rPr>
        <w:t>r</w:t>
      </w:r>
      <w:proofErr w:type="spellEnd"/>
      <w:r w:rsidRPr="00CF2916">
        <w:rPr>
          <w:rFonts w:ascii="Arial" w:hAnsi="Arial" w:cs="Arial"/>
          <w:lang w:val="en-GB"/>
        </w:rPr>
        <w:t xml:space="preserve"> Ferguson committed</w:t>
      </w:r>
      <w:r w:rsidR="00330A83">
        <w:rPr>
          <w:rFonts w:ascii="Arial" w:hAnsi="Arial" w:cs="Arial"/>
          <w:lang w:val="en-GB"/>
        </w:rPr>
        <w:t xml:space="preserve"> fraud in the obtaining of his certificate of t</w:t>
      </w:r>
      <w:r w:rsidRPr="00CF2916">
        <w:rPr>
          <w:rFonts w:ascii="Arial" w:hAnsi="Arial" w:cs="Arial"/>
          <w:lang w:val="en-GB"/>
        </w:rPr>
        <w:t>itle so as to have it rendered null and void under section 27 of the QTA.</w:t>
      </w:r>
      <w:r w:rsidR="0029669D">
        <w:rPr>
          <w:rFonts w:ascii="Arial" w:hAnsi="Arial" w:cs="Arial"/>
          <w:lang w:val="en-GB"/>
        </w:rPr>
        <w:t xml:space="preserve"> He asserted that </w:t>
      </w:r>
      <w:r w:rsidR="0029669D" w:rsidRPr="0029669D">
        <w:rPr>
          <w:rFonts w:ascii="Arial" w:hAnsi="Arial" w:cs="Arial"/>
        </w:rPr>
        <w:t>Araw</w:t>
      </w:r>
      <w:r w:rsidR="0029669D">
        <w:rPr>
          <w:rFonts w:ascii="Arial" w:hAnsi="Arial" w:cs="Arial"/>
        </w:rPr>
        <w:t xml:space="preserve">ak Homes has pleaded that </w:t>
      </w:r>
      <w:proofErr w:type="spellStart"/>
      <w:r w:rsidR="0029669D">
        <w:rPr>
          <w:rFonts w:ascii="Arial" w:hAnsi="Arial" w:cs="Arial"/>
        </w:rPr>
        <w:t>Eleazo</w:t>
      </w:r>
      <w:r w:rsidR="0029669D" w:rsidRPr="0029669D">
        <w:rPr>
          <w:rFonts w:ascii="Arial" w:hAnsi="Arial" w:cs="Arial"/>
        </w:rPr>
        <w:t>r</w:t>
      </w:r>
      <w:proofErr w:type="spellEnd"/>
      <w:r w:rsidR="0029669D" w:rsidRPr="0029669D">
        <w:rPr>
          <w:rFonts w:ascii="Arial" w:hAnsi="Arial" w:cs="Arial"/>
        </w:rPr>
        <w:t xml:space="preserve"> Ferguson committed fraud in the obtaining of his certificate of title and this issue together with the issue of precisely where the land (the subject matter of the present action) is located cannot be dealt with without evidence, and there is no</w:t>
      </w:r>
      <w:r w:rsidR="008E7CA0">
        <w:rPr>
          <w:rFonts w:ascii="Arial" w:hAnsi="Arial" w:cs="Arial"/>
        </w:rPr>
        <w:t>,</w:t>
      </w:r>
      <w:r w:rsidR="0029669D" w:rsidRPr="0029669D">
        <w:rPr>
          <w:rFonts w:ascii="Arial" w:hAnsi="Arial" w:cs="Arial"/>
        </w:rPr>
        <w:t xml:space="preserve"> and cannot be any evidence</w:t>
      </w:r>
      <w:r w:rsidR="008E7CA0">
        <w:rPr>
          <w:rFonts w:ascii="Arial" w:hAnsi="Arial" w:cs="Arial"/>
        </w:rPr>
        <w:t>,</w:t>
      </w:r>
      <w:r w:rsidR="0029669D" w:rsidRPr="0029669D">
        <w:rPr>
          <w:rFonts w:ascii="Arial" w:hAnsi="Arial" w:cs="Arial"/>
        </w:rPr>
        <w:t xml:space="preserve"> for this purpose</w:t>
      </w:r>
      <w:r w:rsidR="009A07FD">
        <w:rPr>
          <w:rFonts w:ascii="Arial" w:hAnsi="Arial" w:cs="Arial"/>
        </w:rPr>
        <w:t>,</w:t>
      </w:r>
      <w:r w:rsidR="0029669D" w:rsidRPr="0029669D">
        <w:rPr>
          <w:rFonts w:ascii="Arial" w:hAnsi="Arial" w:cs="Arial"/>
        </w:rPr>
        <w:t xml:space="preserve"> or at all</w:t>
      </w:r>
      <w:r w:rsidR="009A07FD">
        <w:rPr>
          <w:rFonts w:ascii="Arial" w:hAnsi="Arial" w:cs="Arial"/>
        </w:rPr>
        <w:t>,</w:t>
      </w:r>
      <w:r w:rsidR="0029669D" w:rsidRPr="0029669D">
        <w:rPr>
          <w:rFonts w:ascii="Arial" w:hAnsi="Arial" w:cs="Arial"/>
        </w:rPr>
        <w:t xml:space="preserve"> in light of the remitting order. </w:t>
      </w:r>
    </w:p>
    <w:p w:rsidR="0029669D" w:rsidRPr="0029669D" w:rsidRDefault="0029669D" w:rsidP="004E0779">
      <w:pPr>
        <w:pStyle w:val="ListParagraph"/>
        <w:widowControl w:val="0"/>
        <w:autoSpaceDE w:val="0"/>
        <w:autoSpaceDN w:val="0"/>
        <w:jc w:val="both"/>
        <w:rPr>
          <w:rFonts w:ascii="Arial" w:hAnsi="Arial" w:cs="Arial"/>
          <w:lang w:val="en-GB"/>
        </w:rPr>
      </w:pPr>
    </w:p>
    <w:p w:rsidR="0029669D" w:rsidRPr="006C63C1" w:rsidRDefault="0029669D" w:rsidP="0029669D">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rPr>
        <w:t xml:space="preserve">Counsel next </w:t>
      </w:r>
      <w:r w:rsidRPr="0029669D">
        <w:rPr>
          <w:rFonts w:ascii="Arial" w:hAnsi="Arial" w:cs="Arial"/>
        </w:rPr>
        <w:t xml:space="preserve">submitted that another important issue is the question of how did </w:t>
      </w:r>
      <w:proofErr w:type="spellStart"/>
      <w:r w:rsidRPr="0029669D">
        <w:rPr>
          <w:rFonts w:ascii="Arial" w:hAnsi="Arial" w:cs="Arial"/>
        </w:rPr>
        <w:t>Eleaz</w:t>
      </w:r>
      <w:r w:rsidR="004E0779">
        <w:rPr>
          <w:rFonts w:ascii="Arial" w:hAnsi="Arial" w:cs="Arial"/>
        </w:rPr>
        <w:t>o</w:t>
      </w:r>
      <w:r w:rsidRPr="0029669D">
        <w:rPr>
          <w:rFonts w:ascii="Arial" w:hAnsi="Arial" w:cs="Arial"/>
        </w:rPr>
        <w:t>r</w:t>
      </w:r>
      <w:proofErr w:type="spellEnd"/>
      <w:r w:rsidRPr="0029669D">
        <w:rPr>
          <w:rFonts w:ascii="Arial" w:hAnsi="Arial" w:cs="Arial"/>
        </w:rPr>
        <w:t xml:space="preserve"> Ferguson come about the land to which he obtained his certificate of title and what was his involvement in the action as an adverse claimant. According to him, there is no evidence to establish or determine this issue beyond the acceptance of the</w:t>
      </w:r>
      <w:r>
        <w:rPr>
          <w:rFonts w:ascii="Arial" w:hAnsi="Arial" w:cs="Arial"/>
        </w:rPr>
        <w:t xml:space="preserve"> pleadings which say that </w:t>
      </w:r>
      <w:proofErr w:type="spellStart"/>
      <w:r>
        <w:rPr>
          <w:rFonts w:ascii="Arial" w:hAnsi="Arial" w:cs="Arial"/>
        </w:rPr>
        <w:t>Eleazo</w:t>
      </w:r>
      <w:r w:rsidRPr="0029669D">
        <w:rPr>
          <w:rFonts w:ascii="Arial" w:hAnsi="Arial" w:cs="Arial"/>
        </w:rPr>
        <w:t>r</w:t>
      </w:r>
      <w:proofErr w:type="spellEnd"/>
      <w:r w:rsidRPr="0029669D">
        <w:rPr>
          <w:rFonts w:ascii="Arial" w:hAnsi="Arial" w:cs="Arial"/>
        </w:rPr>
        <w:t xml:space="preserve"> Ferguson bought the land from Thaddeus Johnson</w:t>
      </w:r>
      <w:r w:rsidR="00241B4A">
        <w:rPr>
          <w:rFonts w:ascii="Arial" w:hAnsi="Arial" w:cs="Arial"/>
        </w:rPr>
        <w:t>,</w:t>
      </w:r>
      <w:r w:rsidRPr="0029669D">
        <w:rPr>
          <w:rFonts w:ascii="Arial" w:hAnsi="Arial" w:cs="Arial"/>
        </w:rPr>
        <w:t xml:space="preserve"> and no evidence can be led at this hearing. Learned Counsel submit</w:t>
      </w:r>
      <w:r w:rsidR="0026541D">
        <w:rPr>
          <w:rFonts w:ascii="Arial" w:hAnsi="Arial" w:cs="Arial"/>
        </w:rPr>
        <w:t>ted</w:t>
      </w:r>
      <w:r w:rsidRPr="0029669D">
        <w:rPr>
          <w:rFonts w:ascii="Arial" w:hAnsi="Arial" w:cs="Arial"/>
        </w:rPr>
        <w:t xml:space="preserve"> that a case involving fraud, cann</w:t>
      </w:r>
      <w:r w:rsidR="006C63C1">
        <w:rPr>
          <w:rFonts w:ascii="Arial" w:hAnsi="Arial" w:cs="Arial"/>
        </w:rPr>
        <w:t>ot be heard only on submissions</w:t>
      </w:r>
      <w:r w:rsidR="00C01FE8">
        <w:rPr>
          <w:rFonts w:ascii="Arial" w:hAnsi="Arial" w:cs="Arial"/>
        </w:rPr>
        <w:t>,</w:t>
      </w:r>
      <w:r w:rsidRPr="0029669D">
        <w:rPr>
          <w:rFonts w:ascii="Arial" w:hAnsi="Arial" w:cs="Arial"/>
        </w:rPr>
        <w:t xml:space="preserve"> since fraud has to be specifically pleaded and proven</w:t>
      </w:r>
      <w:r w:rsidR="00616BDF">
        <w:rPr>
          <w:rFonts w:ascii="Arial" w:hAnsi="Arial" w:cs="Arial"/>
        </w:rPr>
        <w:t>,</w:t>
      </w:r>
      <w:r w:rsidRPr="0029669D">
        <w:rPr>
          <w:rFonts w:ascii="Arial" w:hAnsi="Arial" w:cs="Arial"/>
        </w:rPr>
        <w:t xml:space="preserve"> and</w:t>
      </w:r>
      <w:r w:rsidR="00616BDF">
        <w:rPr>
          <w:rFonts w:ascii="Arial" w:hAnsi="Arial" w:cs="Arial"/>
        </w:rPr>
        <w:t>,</w:t>
      </w:r>
      <w:r w:rsidRPr="0029669D">
        <w:rPr>
          <w:rFonts w:ascii="Arial" w:hAnsi="Arial" w:cs="Arial"/>
        </w:rPr>
        <w:t xml:space="preserve"> since Arawak Homes sought and o</w:t>
      </w:r>
      <w:r w:rsidR="008C10D4">
        <w:rPr>
          <w:rFonts w:ascii="Arial" w:hAnsi="Arial" w:cs="Arial"/>
        </w:rPr>
        <w:t>btained</w:t>
      </w:r>
      <w:r w:rsidRPr="0029669D">
        <w:rPr>
          <w:rFonts w:ascii="Arial" w:hAnsi="Arial" w:cs="Arial"/>
        </w:rPr>
        <w:t xml:space="preserve"> such an order, it is open to this court to find that, having considered all of the submissions of the parties, it is unable to conclude on such submissions that there has been a commission of fraud by </w:t>
      </w:r>
      <w:proofErr w:type="spellStart"/>
      <w:r w:rsidRPr="0029669D">
        <w:rPr>
          <w:rFonts w:ascii="Arial" w:hAnsi="Arial" w:cs="Arial"/>
        </w:rPr>
        <w:lastRenderedPageBreak/>
        <w:t>Eleaz</w:t>
      </w:r>
      <w:r>
        <w:rPr>
          <w:rFonts w:ascii="Arial" w:hAnsi="Arial" w:cs="Arial"/>
        </w:rPr>
        <w:t>o</w:t>
      </w:r>
      <w:r w:rsidRPr="0029669D">
        <w:rPr>
          <w:rFonts w:ascii="Arial" w:hAnsi="Arial" w:cs="Arial"/>
        </w:rPr>
        <w:t>r</w:t>
      </w:r>
      <w:proofErr w:type="spellEnd"/>
      <w:r w:rsidRPr="0029669D">
        <w:rPr>
          <w:rFonts w:ascii="Arial" w:hAnsi="Arial" w:cs="Arial"/>
        </w:rPr>
        <w:t xml:space="preserve"> Ferguson. In those circumstances, judgment will have to be given in </w:t>
      </w:r>
      <w:proofErr w:type="spellStart"/>
      <w:r w:rsidRPr="0029669D">
        <w:rPr>
          <w:rFonts w:ascii="Arial" w:hAnsi="Arial" w:cs="Arial"/>
        </w:rPr>
        <w:t>favour</w:t>
      </w:r>
      <w:proofErr w:type="spellEnd"/>
      <w:r w:rsidRPr="0029669D">
        <w:rPr>
          <w:rFonts w:ascii="Arial" w:hAnsi="Arial" w:cs="Arial"/>
        </w:rPr>
        <w:t xml:space="preserve"> of the 2</w:t>
      </w:r>
      <w:r w:rsidRPr="0029669D">
        <w:rPr>
          <w:rFonts w:ascii="Arial" w:hAnsi="Arial" w:cs="Arial"/>
          <w:vertAlign w:val="superscript"/>
        </w:rPr>
        <w:t>nd</w:t>
      </w:r>
      <w:r w:rsidRPr="0029669D">
        <w:rPr>
          <w:rFonts w:ascii="Arial" w:hAnsi="Arial" w:cs="Arial"/>
        </w:rPr>
        <w:t xml:space="preserve"> Defendant.</w:t>
      </w:r>
    </w:p>
    <w:p w:rsidR="004E0779" w:rsidRPr="006127B6" w:rsidRDefault="004E0779" w:rsidP="006127B6">
      <w:pPr>
        <w:rPr>
          <w:rFonts w:ascii="Arial" w:hAnsi="Arial" w:cs="Arial"/>
        </w:rPr>
      </w:pPr>
    </w:p>
    <w:p w:rsidR="004E0779" w:rsidRDefault="0029669D" w:rsidP="004E0779">
      <w:pPr>
        <w:pStyle w:val="ListParagraph"/>
        <w:numPr>
          <w:ilvl w:val="0"/>
          <w:numId w:val="2"/>
        </w:numPr>
        <w:spacing w:line="360" w:lineRule="auto"/>
        <w:jc w:val="both"/>
        <w:rPr>
          <w:rFonts w:ascii="Arial" w:hAnsi="Arial" w:cs="Arial"/>
        </w:rPr>
      </w:pPr>
      <w:r>
        <w:rPr>
          <w:rFonts w:ascii="Arial" w:hAnsi="Arial" w:cs="Arial"/>
        </w:rPr>
        <w:t xml:space="preserve">Learned Counsel </w:t>
      </w:r>
      <w:r w:rsidR="00E26F7E">
        <w:rPr>
          <w:rFonts w:ascii="Arial" w:hAnsi="Arial" w:cs="Arial"/>
        </w:rPr>
        <w:t xml:space="preserve">also </w:t>
      </w:r>
      <w:r>
        <w:rPr>
          <w:rFonts w:ascii="Arial" w:hAnsi="Arial" w:cs="Arial"/>
        </w:rPr>
        <w:t xml:space="preserve">attacked Arawak Homes’ pleaded case on a litany of other legal challenges; some </w:t>
      </w:r>
      <w:r w:rsidR="001B2DE2">
        <w:rPr>
          <w:rFonts w:ascii="Arial" w:hAnsi="Arial" w:cs="Arial"/>
        </w:rPr>
        <w:t xml:space="preserve">of which </w:t>
      </w:r>
      <w:r>
        <w:rPr>
          <w:rFonts w:ascii="Arial" w:hAnsi="Arial" w:cs="Arial"/>
        </w:rPr>
        <w:t xml:space="preserve">have </w:t>
      </w:r>
      <w:r w:rsidR="001B2DE2">
        <w:rPr>
          <w:rFonts w:ascii="Arial" w:hAnsi="Arial" w:cs="Arial"/>
        </w:rPr>
        <w:t xml:space="preserve">already </w:t>
      </w:r>
      <w:r>
        <w:rPr>
          <w:rFonts w:ascii="Arial" w:hAnsi="Arial" w:cs="Arial"/>
        </w:rPr>
        <w:t xml:space="preserve">been adjudicated </w:t>
      </w:r>
      <w:r w:rsidR="001B2DE2">
        <w:rPr>
          <w:rFonts w:ascii="Arial" w:hAnsi="Arial" w:cs="Arial"/>
        </w:rPr>
        <w:t>upon by</w:t>
      </w:r>
      <w:r>
        <w:rPr>
          <w:rFonts w:ascii="Arial" w:hAnsi="Arial" w:cs="Arial"/>
        </w:rPr>
        <w:t xml:space="preserve"> other courts; for example, the standing of Arawak Homes: see judgment of Allen J delivered on 20 April 2004 a</w:t>
      </w:r>
      <w:r w:rsidR="001B2DE2">
        <w:rPr>
          <w:rFonts w:ascii="Arial" w:hAnsi="Arial" w:cs="Arial"/>
        </w:rPr>
        <w:t>nd</w:t>
      </w:r>
      <w:r>
        <w:rPr>
          <w:rFonts w:ascii="Arial" w:hAnsi="Arial" w:cs="Arial"/>
        </w:rPr>
        <w:t xml:space="preserve"> section 121 of the Evidence Act 1996</w:t>
      </w:r>
      <w:r w:rsidR="00E26F7E">
        <w:rPr>
          <w:rFonts w:ascii="Arial" w:hAnsi="Arial" w:cs="Arial"/>
        </w:rPr>
        <w:t xml:space="preserve"> a</w:t>
      </w:r>
      <w:r w:rsidR="001B2DE2">
        <w:rPr>
          <w:rFonts w:ascii="Arial" w:hAnsi="Arial" w:cs="Arial"/>
        </w:rPr>
        <w:t xml:space="preserve">s well as </w:t>
      </w:r>
      <w:r w:rsidR="00E26F7E">
        <w:rPr>
          <w:rFonts w:ascii="Arial" w:hAnsi="Arial" w:cs="Arial"/>
        </w:rPr>
        <w:t>judgments</w:t>
      </w:r>
      <w:r w:rsidR="004C6490">
        <w:rPr>
          <w:rFonts w:ascii="Arial" w:hAnsi="Arial" w:cs="Arial"/>
          <w:i/>
        </w:rPr>
        <w:t xml:space="preserve"> in rem </w:t>
      </w:r>
      <w:r w:rsidR="004C6490" w:rsidRPr="004C6490">
        <w:rPr>
          <w:rFonts w:ascii="Arial" w:hAnsi="Arial" w:cs="Arial"/>
        </w:rPr>
        <w:t>and/or</w:t>
      </w:r>
      <w:r w:rsidR="00E26F7E">
        <w:rPr>
          <w:rFonts w:ascii="Arial" w:hAnsi="Arial" w:cs="Arial"/>
        </w:rPr>
        <w:t xml:space="preserve"> judgments </w:t>
      </w:r>
      <w:r w:rsidR="00E26F7E" w:rsidRPr="00E26F7E">
        <w:rPr>
          <w:rFonts w:ascii="Arial" w:hAnsi="Arial" w:cs="Arial"/>
          <w:i/>
        </w:rPr>
        <w:t xml:space="preserve">in </w:t>
      </w:r>
      <w:proofErr w:type="spellStart"/>
      <w:r w:rsidR="00E26F7E" w:rsidRPr="00E26F7E">
        <w:rPr>
          <w:rFonts w:ascii="Arial" w:hAnsi="Arial" w:cs="Arial"/>
          <w:i/>
        </w:rPr>
        <w:t>personam</w:t>
      </w:r>
      <w:proofErr w:type="spellEnd"/>
      <w:r>
        <w:rPr>
          <w:rFonts w:ascii="Arial" w:hAnsi="Arial" w:cs="Arial"/>
        </w:rPr>
        <w:t xml:space="preserve">: see Privy Council’s judgment in </w:t>
      </w:r>
      <w:r w:rsidRPr="0029669D">
        <w:rPr>
          <w:rFonts w:ascii="Arial" w:hAnsi="Arial" w:cs="Arial"/>
          <w:b/>
        </w:rPr>
        <w:t>Dennis Dean and another v Arawak Homes Ltd</w:t>
      </w:r>
      <w:r w:rsidR="004E0779">
        <w:rPr>
          <w:rFonts w:ascii="Arial" w:hAnsi="Arial" w:cs="Arial"/>
        </w:rPr>
        <w:t xml:space="preserve"> [2014] UKPC 24 at paragraph 20.</w:t>
      </w:r>
    </w:p>
    <w:p w:rsidR="004E0779" w:rsidRPr="004E0779" w:rsidRDefault="004E0779" w:rsidP="004E0779">
      <w:pPr>
        <w:pStyle w:val="ListParagraph"/>
        <w:rPr>
          <w:rFonts w:ascii="Arial" w:hAnsi="Arial" w:cs="Arial"/>
        </w:rPr>
      </w:pPr>
    </w:p>
    <w:p w:rsidR="0029669D" w:rsidRPr="004E0779" w:rsidRDefault="0029669D" w:rsidP="0029669D">
      <w:pPr>
        <w:pStyle w:val="ListParagraph"/>
        <w:numPr>
          <w:ilvl w:val="0"/>
          <w:numId w:val="2"/>
        </w:numPr>
        <w:spacing w:line="360" w:lineRule="auto"/>
        <w:jc w:val="both"/>
        <w:rPr>
          <w:rFonts w:ascii="Arial" w:hAnsi="Arial" w:cs="Arial"/>
        </w:rPr>
      </w:pPr>
      <w:r>
        <w:rPr>
          <w:rFonts w:ascii="Arial" w:hAnsi="Arial" w:cs="Arial"/>
        </w:rPr>
        <w:t>As I scrutinized the skillfully</w:t>
      </w:r>
      <w:r w:rsidR="004E0779">
        <w:rPr>
          <w:rFonts w:ascii="Arial" w:hAnsi="Arial" w:cs="Arial"/>
        </w:rPr>
        <w:t>-</w:t>
      </w:r>
      <w:r>
        <w:rPr>
          <w:rFonts w:ascii="Arial" w:hAnsi="Arial" w:cs="Arial"/>
        </w:rPr>
        <w:t>crafted written submissions of the 2</w:t>
      </w:r>
      <w:r w:rsidRPr="009F559E">
        <w:rPr>
          <w:rFonts w:ascii="Arial" w:hAnsi="Arial" w:cs="Arial"/>
          <w:vertAlign w:val="superscript"/>
        </w:rPr>
        <w:t>nd</w:t>
      </w:r>
      <w:r>
        <w:rPr>
          <w:rFonts w:ascii="Arial" w:hAnsi="Arial" w:cs="Arial"/>
        </w:rPr>
        <w:t xml:space="preserve"> Defendant, it immediately crossed my mind that the majority of sub-issues raised in the </w:t>
      </w:r>
      <w:r w:rsidR="00E26F7E">
        <w:rPr>
          <w:rFonts w:ascii="Arial" w:hAnsi="Arial" w:cs="Arial"/>
        </w:rPr>
        <w:t xml:space="preserve">written </w:t>
      </w:r>
      <w:r>
        <w:rPr>
          <w:rFonts w:ascii="Arial" w:hAnsi="Arial" w:cs="Arial"/>
        </w:rPr>
        <w:t>submissions were introduced to muddle up the sole issue which confronts this cou</w:t>
      </w:r>
      <w:r w:rsidR="004E0779">
        <w:rPr>
          <w:rFonts w:ascii="Arial" w:hAnsi="Arial" w:cs="Arial"/>
        </w:rPr>
        <w:t xml:space="preserve">rt namely the validity of </w:t>
      </w:r>
      <w:proofErr w:type="spellStart"/>
      <w:r w:rsidR="004E0779">
        <w:rPr>
          <w:rFonts w:ascii="Arial" w:hAnsi="Arial" w:cs="Arial"/>
        </w:rPr>
        <w:t>Eleazo</w:t>
      </w:r>
      <w:r>
        <w:rPr>
          <w:rFonts w:ascii="Arial" w:hAnsi="Arial" w:cs="Arial"/>
        </w:rPr>
        <w:t>r</w:t>
      </w:r>
      <w:proofErr w:type="spellEnd"/>
      <w:r>
        <w:rPr>
          <w:rFonts w:ascii="Arial" w:hAnsi="Arial" w:cs="Arial"/>
        </w:rPr>
        <w:t xml:space="preserve"> Ferguson’s certificate of title.  As I see it, issues such as </w:t>
      </w:r>
      <w:r w:rsidRPr="009F585D">
        <w:rPr>
          <w:rFonts w:ascii="Arial" w:hAnsi="Arial" w:cs="Arial"/>
          <w:lang w:val="en-GB"/>
        </w:rPr>
        <w:t>the definition of a declaration/declaratory judgment; Order 14 r 1; the maxim “</w:t>
      </w:r>
      <w:r w:rsidRPr="009F585D">
        <w:rPr>
          <w:rFonts w:ascii="Arial" w:hAnsi="Arial" w:cs="Arial"/>
          <w:i/>
          <w:lang w:val="en-GB"/>
        </w:rPr>
        <w:t xml:space="preserve">res inter </w:t>
      </w:r>
      <w:proofErr w:type="spellStart"/>
      <w:r w:rsidRPr="009F585D">
        <w:rPr>
          <w:rFonts w:ascii="Arial" w:hAnsi="Arial" w:cs="Arial"/>
          <w:i/>
          <w:lang w:val="en-GB"/>
        </w:rPr>
        <w:t>alios</w:t>
      </w:r>
      <w:proofErr w:type="spellEnd"/>
      <w:r w:rsidRPr="009F585D">
        <w:rPr>
          <w:rFonts w:ascii="Arial" w:hAnsi="Arial" w:cs="Arial"/>
          <w:i/>
          <w:lang w:val="en-GB"/>
        </w:rPr>
        <w:t xml:space="preserve"> </w:t>
      </w:r>
      <w:proofErr w:type="spellStart"/>
      <w:r w:rsidRPr="009F585D">
        <w:rPr>
          <w:rFonts w:ascii="Arial" w:hAnsi="Arial" w:cs="Arial"/>
          <w:i/>
          <w:lang w:val="en-GB"/>
        </w:rPr>
        <w:t>acta</w:t>
      </w:r>
      <w:proofErr w:type="spellEnd"/>
      <w:r w:rsidRPr="009F585D">
        <w:rPr>
          <w:rFonts w:ascii="Arial" w:hAnsi="Arial" w:cs="Arial"/>
          <w:i/>
          <w:lang w:val="en-GB"/>
        </w:rPr>
        <w:t xml:space="preserve"> </w:t>
      </w:r>
      <w:proofErr w:type="spellStart"/>
      <w:r w:rsidRPr="009F585D">
        <w:rPr>
          <w:rFonts w:ascii="Arial" w:hAnsi="Arial" w:cs="Arial"/>
          <w:i/>
          <w:lang w:val="en-GB"/>
        </w:rPr>
        <w:t>alteri</w:t>
      </w:r>
      <w:proofErr w:type="spellEnd"/>
      <w:r w:rsidRPr="009F585D">
        <w:rPr>
          <w:rFonts w:ascii="Arial" w:hAnsi="Arial" w:cs="Arial"/>
          <w:i/>
          <w:lang w:val="en-GB"/>
        </w:rPr>
        <w:t xml:space="preserve"> </w:t>
      </w:r>
      <w:proofErr w:type="spellStart"/>
      <w:r w:rsidRPr="009F585D">
        <w:rPr>
          <w:rFonts w:ascii="Arial" w:hAnsi="Arial" w:cs="Arial"/>
          <w:i/>
          <w:lang w:val="en-GB"/>
        </w:rPr>
        <w:t>nocere</w:t>
      </w:r>
      <w:proofErr w:type="spellEnd"/>
      <w:r w:rsidRPr="009F585D">
        <w:rPr>
          <w:rFonts w:ascii="Arial" w:hAnsi="Arial" w:cs="Arial"/>
          <w:i/>
          <w:lang w:val="en-GB"/>
        </w:rPr>
        <w:t xml:space="preserve"> non </w:t>
      </w:r>
      <w:proofErr w:type="spellStart"/>
      <w:r w:rsidRPr="009F585D">
        <w:rPr>
          <w:rFonts w:ascii="Arial" w:hAnsi="Arial" w:cs="Arial"/>
          <w:i/>
          <w:lang w:val="en-GB"/>
        </w:rPr>
        <w:t>debet</w:t>
      </w:r>
      <w:proofErr w:type="spellEnd"/>
      <w:r>
        <w:rPr>
          <w:rFonts w:ascii="Arial" w:hAnsi="Arial" w:cs="Arial"/>
          <w:i/>
          <w:lang w:val="en-GB"/>
        </w:rPr>
        <w:t>”;</w:t>
      </w:r>
      <w:r w:rsidRPr="009F585D">
        <w:rPr>
          <w:rFonts w:ascii="Arial" w:hAnsi="Arial" w:cs="Arial"/>
          <w:lang w:val="en-GB"/>
        </w:rPr>
        <w:t xml:space="preserve"> article 20(8) of the Constitution vis-à-vis Article 6(1) of the Europe</w:t>
      </w:r>
      <w:r>
        <w:rPr>
          <w:rFonts w:ascii="Arial" w:hAnsi="Arial" w:cs="Arial"/>
          <w:lang w:val="en-GB"/>
        </w:rPr>
        <w:t xml:space="preserve">an Convention on Human Rights; </w:t>
      </w:r>
      <w:r w:rsidRPr="009F585D">
        <w:rPr>
          <w:rFonts w:ascii="Arial" w:hAnsi="Arial" w:cs="Arial"/>
          <w:lang w:val="en-GB"/>
        </w:rPr>
        <w:t>inordinate and inexcusable delay and severe prejudice grounds; limitation period and the Limitation Act</w:t>
      </w:r>
      <w:r>
        <w:rPr>
          <w:rFonts w:ascii="Arial" w:hAnsi="Arial" w:cs="Arial"/>
          <w:lang w:val="en-GB"/>
        </w:rPr>
        <w:t xml:space="preserve">, judgments </w:t>
      </w:r>
      <w:r w:rsidRPr="00FF5A95">
        <w:rPr>
          <w:rFonts w:ascii="Arial" w:hAnsi="Arial" w:cs="Arial"/>
          <w:i/>
          <w:lang w:val="en-GB"/>
        </w:rPr>
        <w:t>in rem/</w:t>
      </w:r>
      <w:r>
        <w:rPr>
          <w:rFonts w:ascii="Arial" w:hAnsi="Arial" w:cs="Arial"/>
          <w:lang w:val="en-GB"/>
        </w:rPr>
        <w:t xml:space="preserve"> judgments </w:t>
      </w:r>
      <w:r w:rsidRPr="00FF5A95">
        <w:rPr>
          <w:rFonts w:ascii="Arial" w:hAnsi="Arial" w:cs="Arial"/>
          <w:i/>
          <w:lang w:val="en-GB"/>
        </w:rPr>
        <w:t xml:space="preserve">in </w:t>
      </w:r>
      <w:proofErr w:type="spellStart"/>
      <w:r w:rsidRPr="00FF5A95">
        <w:rPr>
          <w:rFonts w:ascii="Arial" w:hAnsi="Arial" w:cs="Arial"/>
          <w:i/>
          <w:lang w:val="en-GB"/>
        </w:rPr>
        <w:t>personam</w:t>
      </w:r>
      <w:proofErr w:type="spellEnd"/>
      <w:r>
        <w:rPr>
          <w:rFonts w:ascii="Arial" w:hAnsi="Arial" w:cs="Arial"/>
          <w:lang w:val="en-GB"/>
        </w:rPr>
        <w:t xml:space="preserve"> and</w:t>
      </w:r>
      <w:r w:rsidRPr="009F585D">
        <w:rPr>
          <w:rFonts w:ascii="Arial" w:hAnsi="Arial" w:cs="Arial"/>
          <w:lang w:val="en-GB"/>
        </w:rPr>
        <w:t xml:space="preserve"> section 3 of</w:t>
      </w:r>
      <w:r>
        <w:rPr>
          <w:rFonts w:ascii="Arial" w:hAnsi="Arial" w:cs="Arial"/>
          <w:lang w:val="en-GB"/>
        </w:rPr>
        <w:t xml:space="preserve"> the Civil Procedure Act, 1833 among others have no relevance to the present action and as such, they do not warrant </w:t>
      </w:r>
      <w:r w:rsidR="00E26F7E">
        <w:rPr>
          <w:rFonts w:ascii="Arial" w:hAnsi="Arial" w:cs="Arial"/>
          <w:lang w:val="en-GB"/>
        </w:rPr>
        <w:t>my</w:t>
      </w:r>
      <w:r>
        <w:rPr>
          <w:rFonts w:ascii="Arial" w:hAnsi="Arial" w:cs="Arial"/>
          <w:lang w:val="en-GB"/>
        </w:rPr>
        <w:t xml:space="preserve"> consideration.</w:t>
      </w:r>
    </w:p>
    <w:p w:rsidR="00371792" w:rsidRPr="00E26F7E" w:rsidRDefault="00371792" w:rsidP="00E26F7E">
      <w:pPr>
        <w:rPr>
          <w:rFonts w:ascii="Arial" w:hAnsi="Arial" w:cs="Arial"/>
          <w:lang w:val="en-GB"/>
        </w:rPr>
      </w:pPr>
    </w:p>
    <w:p w:rsidR="00CF2916" w:rsidRPr="00330A83" w:rsidRDefault="00330A83" w:rsidP="00330A83">
      <w:pPr>
        <w:widowControl w:val="0"/>
        <w:autoSpaceDE w:val="0"/>
        <w:autoSpaceDN w:val="0"/>
        <w:spacing w:line="360" w:lineRule="auto"/>
        <w:jc w:val="both"/>
        <w:rPr>
          <w:rFonts w:ascii="Arial" w:hAnsi="Arial" w:cs="Arial"/>
          <w:b/>
          <w:lang w:val="en-GB"/>
        </w:rPr>
      </w:pPr>
      <w:r w:rsidRPr="00330A83">
        <w:rPr>
          <w:rFonts w:ascii="Arial" w:hAnsi="Arial" w:cs="Arial"/>
          <w:b/>
          <w:lang w:val="en-GB"/>
        </w:rPr>
        <w:t>Analysis</w:t>
      </w:r>
      <w:r w:rsidR="00EA4C9F">
        <w:rPr>
          <w:rFonts w:ascii="Arial" w:hAnsi="Arial" w:cs="Arial"/>
          <w:b/>
          <w:lang w:val="en-GB"/>
        </w:rPr>
        <w:t xml:space="preserve"> and disposition</w:t>
      </w:r>
      <w:r w:rsidRPr="00330A83">
        <w:rPr>
          <w:rFonts w:ascii="Arial" w:hAnsi="Arial" w:cs="Arial"/>
          <w:b/>
          <w:lang w:val="en-GB"/>
        </w:rPr>
        <w:t xml:space="preserve"> </w:t>
      </w:r>
    </w:p>
    <w:p w:rsidR="00E92960" w:rsidRDefault="00330A83" w:rsidP="00E92960">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 xml:space="preserve">The sole issue for consideration relates to </w:t>
      </w:r>
      <w:r w:rsidR="00E26F7E">
        <w:rPr>
          <w:rFonts w:ascii="Arial" w:hAnsi="Arial" w:cs="Arial"/>
          <w:lang w:val="en-GB"/>
        </w:rPr>
        <w:t>the validity of t</w:t>
      </w:r>
      <w:r w:rsidR="003176BC">
        <w:rPr>
          <w:rFonts w:ascii="Arial" w:hAnsi="Arial" w:cs="Arial"/>
          <w:lang w:val="en-GB"/>
        </w:rPr>
        <w:t xml:space="preserve">he certificate of title granted to </w:t>
      </w:r>
      <w:proofErr w:type="spellStart"/>
      <w:r>
        <w:rPr>
          <w:rFonts w:ascii="Arial" w:hAnsi="Arial" w:cs="Arial"/>
          <w:lang w:val="en-GB"/>
        </w:rPr>
        <w:t>Eleazor</w:t>
      </w:r>
      <w:proofErr w:type="spellEnd"/>
      <w:r>
        <w:rPr>
          <w:rFonts w:ascii="Arial" w:hAnsi="Arial" w:cs="Arial"/>
          <w:lang w:val="en-GB"/>
        </w:rPr>
        <w:t xml:space="preserve"> Ferguson</w:t>
      </w:r>
      <w:r w:rsidR="00E26F7E">
        <w:rPr>
          <w:rFonts w:ascii="Arial" w:hAnsi="Arial" w:cs="Arial"/>
          <w:lang w:val="en-GB"/>
        </w:rPr>
        <w:t xml:space="preserve"> in Action 10 of 1982</w:t>
      </w:r>
      <w:r>
        <w:rPr>
          <w:rFonts w:ascii="Arial" w:hAnsi="Arial" w:cs="Arial"/>
          <w:lang w:val="en-GB"/>
        </w:rPr>
        <w:t xml:space="preserve">. </w:t>
      </w:r>
      <w:r w:rsidR="00FD14F0">
        <w:rPr>
          <w:rFonts w:ascii="Arial" w:hAnsi="Arial" w:cs="Arial"/>
          <w:lang w:val="en-GB"/>
        </w:rPr>
        <w:t>Does</w:t>
      </w:r>
      <w:r>
        <w:rPr>
          <w:rFonts w:ascii="Arial" w:hAnsi="Arial" w:cs="Arial"/>
          <w:lang w:val="en-GB"/>
        </w:rPr>
        <w:t xml:space="preserve"> a resolution of this issue necessitate a full-blown trial or a hearing on submissions only</w:t>
      </w:r>
      <w:r w:rsidR="001470AA">
        <w:rPr>
          <w:rFonts w:ascii="Arial" w:hAnsi="Arial" w:cs="Arial"/>
          <w:lang w:val="en-GB"/>
        </w:rPr>
        <w:t xml:space="preserve"> a</w:t>
      </w:r>
      <w:r>
        <w:rPr>
          <w:rFonts w:ascii="Arial" w:hAnsi="Arial" w:cs="Arial"/>
          <w:lang w:val="en-GB"/>
        </w:rPr>
        <w:t>s ordered by the Court of Appea</w:t>
      </w:r>
      <w:r w:rsidR="00E26F7E">
        <w:rPr>
          <w:rFonts w:ascii="Arial" w:hAnsi="Arial" w:cs="Arial"/>
          <w:lang w:val="en-GB"/>
        </w:rPr>
        <w:t xml:space="preserve">l and </w:t>
      </w:r>
      <w:proofErr w:type="spellStart"/>
      <w:r w:rsidR="00E26F7E">
        <w:rPr>
          <w:rFonts w:ascii="Arial" w:hAnsi="Arial" w:cs="Arial"/>
          <w:lang w:val="en-GB"/>
        </w:rPr>
        <w:t>Adderley</w:t>
      </w:r>
      <w:proofErr w:type="spellEnd"/>
      <w:r w:rsidR="00E26F7E">
        <w:rPr>
          <w:rFonts w:ascii="Arial" w:hAnsi="Arial" w:cs="Arial"/>
          <w:lang w:val="en-GB"/>
        </w:rPr>
        <w:t xml:space="preserve"> J at </w:t>
      </w:r>
      <w:r w:rsidR="00BA783C">
        <w:rPr>
          <w:rFonts w:ascii="Arial" w:hAnsi="Arial" w:cs="Arial"/>
          <w:lang w:val="en-GB"/>
        </w:rPr>
        <w:t>a</w:t>
      </w:r>
      <w:r w:rsidR="00E26F7E">
        <w:rPr>
          <w:rFonts w:ascii="Arial" w:hAnsi="Arial" w:cs="Arial"/>
          <w:lang w:val="en-GB"/>
        </w:rPr>
        <w:t xml:space="preserve"> directions hearing on 12 November 2010</w:t>
      </w:r>
      <w:r w:rsidR="001470AA">
        <w:rPr>
          <w:rFonts w:ascii="Arial" w:hAnsi="Arial" w:cs="Arial"/>
          <w:lang w:val="en-GB"/>
        </w:rPr>
        <w:t>?</w:t>
      </w:r>
      <w:r w:rsidR="00E92960">
        <w:rPr>
          <w:rFonts w:ascii="Arial" w:hAnsi="Arial" w:cs="Arial"/>
          <w:lang w:val="en-GB"/>
        </w:rPr>
        <w:t xml:space="preserve"> </w:t>
      </w:r>
    </w:p>
    <w:p w:rsidR="00E92960" w:rsidRPr="00E92960" w:rsidRDefault="00E92960" w:rsidP="00E92960">
      <w:pPr>
        <w:pStyle w:val="ListParagraph"/>
        <w:widowControl w:val="0"/>
        <w:autoSpaceDE w:val="0"/>
        <w:autoSpaceDN w:val="0"/>
        <w:jc w:val="both"/>
        <w:rPr>
          <w:rFonts w:ascii="Arial" w:hAnsi="Arial" w:cs="Arial"/>
          <w:lang w:val="en-GB"/>
        </w:rPr>
      </w:pPr>
    </w:p>
    <w:p w:rsidR="00E92960" w:rsidRDefault="001470AA" w:rsidP="002968F7">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The 2</w:t>
      </w:r>
      <w:r w:rsidRPr="001470AA">
        <w:rPr>
          <w:rFonts w:ascii="Arial" w:hAnsi="Arial" w:cs="Arial"/>
          <w:vertAlign w:val="superscript"/>
          <w:lang w:val="en-GB"/>
        </w:rPr>
        <w:t>nd</w:t>
      </w:r>
      <w:r>
        <w:rPr>
          <w:rFonts w:ascii="Arial" w:hAnsi="Arial" w:cs="Arial"/>
          <w:lang w:val="en-GB"/>
        </w:rPr>
        <w:t xml:space="preserve"> Defendant asserted that a full-blown trial </w:t>
      </w:r>
      <w:r w:rsidR="00C074EA">
        <w:rPr>
          <w:rFonts w:ascii="Arial" w:hAnsi="Arial" w:cs="Arial"/>
          <w:lang w:val="en-GB"/>
        </w:rPr>
        <w:t>is</w:t>
      </w:r>
      <w:r>
        <w:rPr>
          <w:rFonts w:ascii="Arial" w:hAnsi="Arial" w:cs="Arial"/>
          <w:lang w:val="en-GB"/>
        </w:rPr>
        <w:t xml:space="preserve"> necessary in a case of fraud</w:t>
      </w:r>
      <w:r w:rsidR="0064467A">
        <w:rPr>
          <w:rFonts w:ascii="Arial" w:hAnsi="Arial" w:cs="Arial"/>
          <w:lang w:val="en-GB"/>
        </w:rPr>
        <w:t xml:space="preserve">. Learned Counsel </w:t>
      </w:r>
      <w:proofErr w:type="spellStart"/>
      <w:r w:rsidR="0064467A">
        <w:rPr>
          <w:rFonts w:ascii="Arial" w:hAnsi="Arial" w:cs="Arial"/>
          <w:lang w:val="en-GB"/>
        </w:rPr>
        <w:t>Mr.</w:t>
      </w:r>
      <w:proofErr w:type="spellEnd"/>
      <w:r w:rsidR="0064467A">
        <w:rPr>
          <w:rFonts w:ascii="Arial" w:hAnsi="Arial" w:cs="Arial"/>
          <w:lang w:val="en-GB"/>
        </w:rPr>
        <w:t xml:space="preserve"> Martin submitted that the </w:t>
      </w:r>
      <w:r w:rsidR="007F2238">
        <w:rPr>
          <w:rFonts w:ascii="Arial" w:hAnsi="Arial" w:cs="Arial"/>
          <w:lang w:val="en-GB"/>
        </w:rPr>
        <w:t xml:space="preserve">estate of the </w:t>
      </w:r>
      <w:r w:rsidR="00E038DB">
        <w:rPr>
          <w:rFonts w:ascii="Arial" w:hAnsi="Arial" w:cs="Arial"/>
          <w:lang w:val="en-GB"/>
        </w:rPr>
        <w:t>2</w:t>
      </w:r>
      <w:r w:rsidR="00E038DB" w:rsidRPr="00E038DB">
        <w:rPr>
          <w:rFonts w:ascii="Arial" w:hAnsi="Arial" w:cs="Arial"/>
          <w:vertAlign w:val="superscript"/>
          <w:lang w:val="en-GB"/>
        </w:rPr>
        <w:t>nd</w:t>
      </w:r>
      <w:r w:rsidR="00E038DB">
        <w:rPr>
          <w:rFonts w:ascii="Arial" w:hAnsi="Arial" w:cs="Arial"/>
          <w:lang w:val="en-GB"/>
        </w:rPr>
        <w:t xml:space="preserve"> </w:t>
      </w:r>
      <w:r w:rsidR="007F2238">
        <w:rPr>
          <w:rFonts w:ascii="Arial" w:hAnsi="Arial" w:cs="Arial"/>
          <w:lang w:val="en-GB"/>
        </w:rPr>
        <w:t xml:space="preserve">Defendant </w:t>
      </w:r>
      <w:r w:rsidR="007F2238" w:rsidRPr="007F2238">
        <w:rPr>
          <w:rFonts w:ascii="Arial" w:hAnsi="Arial" w:cs="Arial"/>
          <w:lang w:val="en-GB"/>
        </w:rPr>
        <w:t xml:space="preserve">would be seriously prejudiced by </w:t>
      </w:r>
      <w:r w:rsidR="007F2238">
        <w:rPr>
          <w:rFonts w:ascii="Arial" w:hAnsi="Arial" w:cs="Arial"/>
          <w:lang w:val="en-GB"/>
        </w:rPr>
        <w:t>the</w:t>
      </w:r>
      <w:r w:rsidR="007F2238" w:rsidRPr="007F2238">
        <w:rPr>
          <w:rFonts w:ascii="Arial" w:hAnsi="Arial" w:cs="Arial"/>
          <w:lang w:val="en-GB"/>
        </w:rPr>
        <w:t xml:space="preserve"> inability </w:t>
      </w:r>
      <w:r w:rsidR="007F2238">
        <w:rPr>
          <w:rFonts w:ascii="Arial" w:hAnsi="Arial" w:cs="Arial"/>
          <w:lang w:val="en-GB"/>
        </w:rPr>
        <w:t xml:space="preserve">of </w:t>
      </w:r>
      <w:proofErr w:type="spellStart"/>
      <w:r w:rsidR="007F2238">
        <w:rPr>
          <w:rFonts w:ascii="Arial" w:hAnsi="Arial" w:cs="Arial"/>
          <w:lang w:val="en-GB"/>
        </w:rPr>
        <w:t>Eleazor</w:t>
      </w:r>
      <w:proofErr w:type="spellEnd"/>
      <w:r w:rsidR="007F2238">
        <w:rPr>
          <w:rFonts w:ascii="Arial" w:hAnsi="Arial" w:cs="Arial"/>
          <w:lang w:val="en-GB"/>
        </w:rPr>
        <w:t xml:space="preserve"> Ferguson </w:t>
      </w:r>
      <w:r w:rsidR="007F2238" w:rsidRPr="007F2238">
        <w:rPr>
          <w:rFonts w:ascii="Arial" w:hAnsi="Arial" w:cs="Arial"/>
          <w:lang w:val="en-GB"/>
        </w:rPr>
        <w:t xml:space="preserve">to give evidence, call </w:t>
      </w:r>
      <w:r w:rsidR="007F2238" w:rsidRPr="007F2238">
        <w:rPr>
          <w:rFonts w:ascii="Arial" w:hAnsi="Arial" w:cs="Arial"/>
          <w:lang w:val="en-GB"/>
        </w:rPr>
        <w:lastRenderedPageBreak/>
        <w:t>witnesses and to cross</w:t>
      </w:r>
      <w:r w:rsidR="00A0305D">
        <w:rPr>
          <w:rFonts w:ascii="Arial" w:hAnsi="Arial" w:cs="Arial"/>
          <w:lang w:val="en-GB"/>
        </w:rPr>
        <w:t>-</w:t>
      </w:r>
      <w:r w:rsidR="007F2238" w:rsidRPr="007F2238">
        <w:rPr>
          <w:rFonts w:ascii="Arial" w:hAnsi="Arial" w:cs="Arial"/>
          <w:lang w:val="en-GB"/>
        </w:rPr>
        <w:t>examine others</w:t>
      </w:r>
      <w:r w:rsidR="007F2238">
        <w:rPr>
          <w:rFonts w:ascii="Arial" w:hAnsi="Arial" w:cs="Arial"/>
          <w:lang w:val="en-GB"/>
        </w:rPr>
        <w:t xml:space="preserve"> because potential </w:t>
      </w:r>
      <w:r w:rsidR="007F2238" w:rsidRPr="007F2238">
        <w:rPr>
          <w:rFonts w:ascii="Arial" w:hAnsi="Arial" w:cs="Arial"/>
          <w:lang w:val="en-GB"/>
        </w:rPr>
        <w:t>witnesses who would likely have given evidence for the 2</w:t>
      </w:r>
      <w:r w:rsidR="007F2238" w:rsidRPr="007F2238">
        <w:rPr>
          <w:rFonts w:ascii="Arial" w:hAnsi="Arial" w:cs="Arial"/>
          <w:vertAlign w:val="superscript"/>
          <w:lang w:val="en-GB"/>
        </w:rPr>
        <w:t>nd</w:t>
      </w:r>
      <w:r w:rsidR="007F2238" w:rsidRPr="007F2238">
        <w:rPr>
          <w:rFonts w:ascii="Arial" w:hAnsi="Arial" w:cs="Arial"/>
          <w:lang w:val="en-GB"/>
        </w:rPr>
        <w:t xml:space="preserve"> Defendant died between 2004 and 2007.</w:t>
      </w:r>
      <w:r>
        <w:rPr>
          <w:rFonts w:ascii="Arial" w:hAnsi="Arial" w:cs="Arial"/>
          <w:lang w:val="en-GB"/>
        </w:rPr>
        <w:t xml:space="preserve"> This is also a finding that </w:t>
      </w:r>
      <w:proofErr w:type="spellStart"/>
      <w:r>
        <w:rPr>
          <w:rFonts w:ascii="Arial" w:hAnsi="Arial" w:cs="Arial"/>
          <w:lang w:val="en-GB"/>
        </w:rPr>
        <w:t>Adderley</w:t>
      </w:r>
      <w:proofErr w:type="spellEnd"/>
      <w:r>
        <w:rPr>
          <w:rFonts w:ascii="Arial" w:hAnsi="Arial" w:cs="Arial"/>
          <w:lang w:val="en-GB"/>
        </w:rPr>
        <w:t xml:space="preserve"> J reached even after he </w:t>
      </w:r>
      <w:r w:rsidR="00F029D2">
        <w:rPr>
          <w:rFonts w:ascii="Arial" w:hAnsi="Arial" w:cs="Arial"/>
          <w:lang w:val="en-GB"/>
        </w:rPr>
        <w:t>directed a trial on submissions only.</w:t>
      </w:r>
    </w:p>
    <w:p w:rsidR="00611538" w:rsidRPr="00A0305D" w:rsidRDefault="00611538" w:rsidP="00611538">
      <w:pPr>
        <w:rPr>
          <w:rFonts w:ascii="Arial" w:hAnsi="Arial" w:cs="Arial"/>
          <w:lang w:val="en-GB"/>
        </w:rPr>
      </w:pPr>
    </w:p>
    <w:p w:rsidR="00566A7B" w:rsidRPr="00A0305D" w:rsidRDefault="000B5914" w:rsidP="00ED75F8">
      <w:pPr>
        <w:pStyle w:val="ListParagraph"/>
        <w:widowControl w:val="0"/>
        <w:numPr>
          <w:ilvl w:val="0"/>
          <w:numId w:val="2"/>
        </w:numPr>
        <w:autoSpaceDE w:val="0"/>
        <w:autoSpaceDN w:val="0"/>
        <w:spacing w:line="360" w:lineRule="auto"/>
        <w:jc w:val="both"/>
        <w:rPr>
          <w:rFonts w:ascii="Arial" w:hAnsi="Arial" w:cs="Arial"/>
          <w:lang w:val="en-GB"/>
        </w:rPr>
      </w:pPr>
      <w:r w:rsidRPr="00A0305D">
        <w:rPr>
          <w:rFonts w:ascii="Arial" w:hAnsi="Arial" w:cs="Arial"/>
          <w:lang w:val="en-GB"/>
        </w:rPr>
        <w:t xml:space="preserve">Expounding </w:t>
      </w:r>
      <w:r w:rsidR="007F2238" w:rsidRPr="00A0305D">
        <w:rPr>
          <w:rFonts w:ascii="Arial" w:hAnsi="Arial" w:cs="Arial"/>
          <w:lang w:val="en-GB"/>
        </w:rPr>
        <w:t xml:space="preserve">on this </w:t>
      </w:r>
      <w:proofErr w:type="gramStart"/>
      <w:r w:rsidR="007F2238" w:rsidRPr="00A0305D">
        <w:rPr>
          <w:rFonts w:ascii="Arial" w:hAnsi="Arial" w:cs="Arial"/>
          <w:lang w:val="en-GB"/>
        </w:rPr>
        <w:t>point</w:t>
      </w:r>
      <w:r w:rsidR="005A735D" w:rsidRPr="00A0305D">
        <w:rPr>
          <w:rFonts w:ascii="Arial" w:hAnsi="Arial" w:cs="Arial"/>
          <w:lang w:val="en-GB"/>
        </w:rPr>
        <w:t>,</w:t>
      </w:r>
      <w:proofErr w:type="gramEnd"/>
      <w:r w:rsidR="007F2238" w:rsidRPr="00A0305D">
        <w:rPr>
          <w:rFonts w:ascii="Arial" w:hAnsi="Arial" w:cs="Arial"/>
          <w:lang w:val="en-GB"/>
        </w:rPr>
        <w:t xml:space="preserve"> let </w:t>
      </w:r>
      <w:r w:rsidR="001470AA" w:rsidRPr="00A0305D">
        <w:rPr>
          <w:rFonts w:ascii="Arial" w:hAnsi="Arial" w:cs="Arial"/>
          <w:lang w:val="en-GB"/>
        </w:rPr>
        <w:t>me</w:t>
      </w:r>
      <w:r w:rsidR="00611538" w:rsidRPr="00A0305D">
        <w:rPr>
          <w:rFonts w:ascii="Arial" w:hAnsi="Arial" w:cs="Arial"/>
          <w:lang w:val="en-GB"/>
        </w:rPr>
        <w:t xml:space="preserve"> assume that </w:t>
      </w:r>
      <w:proofErr w:type="spellStart"/>
      <w:r w:rsidR="00E038DB" w:rsidRPr="00A0305D">
        <w:rPr>
          <w:rFonts w:ascii="Arial" w:hAnsi="Arial" w:cs="Arial"/>
          <w:lang w:val="en-GB"/>
        </w:rPr>
        <w:t>Eleazor</w:t>
      </w:r>
      <w:proofErr w:type="spellEnd"/>
      <w:r w:rsidR="00E038DB" w:rsidRPr="00A0305D">
        <w:rPr>
          <w:rFonts w:ascii="Arial" w:hAnsi="Arial" w:cs="Arial"/>
          <w:lang w:val="en-GB"/>
        </w:rPr>
        <w:t xml:space="preserve"> Ferguson is alive and there is a trial. What will his testimony and/or that of any </w:t>
      </w:r>
      <w:r w:rsidRPr="00A0305D">
        <w:rPr>
          <w:rFonts w:ascii="Arial" w:hAnsi="Arial" w:cs="Arial"/>
          <w:lang w:val="en-GB"/>
        </w:rPr>
        <w:t xml:space="preserve">potential </w:t>
      </w:r>
      <w:r w:rsidR="00E038DB" w:rsidRPr="00A0305D">
        <w:rPr>
          <w:rFonts w:ascii="Arial" w:hAnsi="Arial" w:cs="Arial"/>
          <w:lang w:val="en-GB"/>
        </w:rPr>
        <w:t>witnesses</w:t>
      </w:r>
      <w:r w:rsidRPr="00A0305D">
        <w:rPr>
          <w:rFonts w:ascii="Arial" w:hAnsi="Arial" w:cs="Arial"/>
          <w:lang w:val="en-GB"/>
        </w:rPr>
        <w:t xml:space="preserve"> </w:t>
      </w:r>
      <w:r w:rsidR="00E038DB" w:rsidRPr="00A0305D">
        <w:rPr>
          <w:rFonts w:ascii="Arial" w:hAnsi="Arial" w:cs="Arial"/>
          <w:lang w:val="en-GB"/>
        </w:rPr>
        <w:t xml:space="preserve">be? </w:t>
      </w:r>
      <w:r w:rsidRPr="00A0305D">
        <w:rPr>
          <w:rFonts w:ascii="Arial" w:hAnsi="Arial" w:cs="Arial"/>
          <w:lang w:val="en-GB"/>
        </w:rPr>
        <w:t>I su</w:t>
      </w:r>
      <w:r w:rsidR="006F67DE" w:rsidRPr="00A0305D">
        <w:rPr>
          <w:rFonts w:ascii="Arial" w:hAnsi="Arial" w:cs="Arial"/>
          <w:lang w:val="en-GB"/>
        </w:rPr>
        <w:t>ppose that</w:t>
      </w:r>
      <w:r w:rsidRPr="00A0305D">
        <w:rPr>
          <w:rFonts w:ascii="Arial" w:hAnsi="Arial" w:cs="Arial"/>
          <w:lang w:val="en-GB"/>
        </w:rPr>
        <w:t xml:space="preserve"> he will call Thaddeus Johnson </w:t>
      </w:r>
      <w:r w:rsidR="00EC189B" w:rsidRPr="00A0305D">
        <w:rPr>
          <w:rFonts w:ascii="Arial" w:hAnsi="Arial" w:cs="Arial"/>
          <w:lang w:val="en-GB"/>
        </w:rPr>
        <w:t xml:space="preserve">to testify on his behalf because it was Thaddeus Johnson </w:t>
      </w:r>
      <w:r w:rsidRPr="00A0305D">
        <w:rPr>
          <w:rFonts w:ascii="Arial" w:hAnsi="Arial" w:cs="Arial"/>
          <w:lang w:val="en-GB"/>
        </w:rPr>
        <w:t>who sold the land to him</w:t>
      </w:r>
      <w:r w:rsidR="00EC189B" w:rsidRPr="00A0305D">
        <w:rPr>
          <w:rFonts w:ascii="Arial" w:hAnsi="Arial" w:cs="Arial"/>
          <w:lang w:val="en-GB"/>
        </w:rPr>
        <w:t>.</w:t>
      </w:r>
      <w:r w:rsidRPr="00A0305D">
        <w:rPr>
          <w:rFonts w:ascii="Arial" w:hAnsi="Arial" w:cs="Arial"/>
          <w:lang w:val="en-GB"/>
        </w:rPr>
        <w:t xml:space="preserve"> </w:t>
      </w:r>
      <w:r w:rsidR="00E038DB" w:rsidRPr="00A0305D">
        <w:rPr>
          <w:rFonts w:ascii="Arial" w:hAnsi="Arial" w:cs="Arial"/>
          <w:lang w:val="en-GB"/>
        </w:rPr>
        <w:t>It cannot be gainsaid that in Action 355 of 1985</w:t>
      </w:r>
      <w:r w:rsidRPr="00A0305D">
        <w:rPr>
          <w:rFonts w:ascii="Arial" w:hAnsi="Arial" w:cs="Arial"/>
          <w:lang w:val="en-GB"/>
        </w:rPr>
        <w:t xml:space="preserve">, both the Supreme Court and the Court of Appeal made </w:t>
      </w:r>
      <w:r w:rsidR="007F2238" w:rsidRPr="00A0305D">
        <w:rPr>
          <w:rFonts w:ascii="Arial" w:hAnsi="Arial" w:cs="Arial"/>
          <w:lang w:val="en-GB"/>
        </w:rPr>
        <w:t>factual findings of Thaddeus Johnson</w:t>
      </w:r>
      <w:r w:rsidRPr="00A0305D">
        <w:rPr>
          <w:rFonts w:ascii="Arial" w:hAnsi="Arial" w:cs="Arial"/>
          <w:lang w:val="en-GB"/>
        </w:rPr>
        <w:t xml:space="preserve">. </w:t>
      </w:r>
      <w:r w:rsidR="009572A7">
        <w:rPr>
          <w:rFonts w:ascii="Arial" w:hAnsi="Arial" w:cs="Arial"/>
          <w:lang w:val="en-GB"/>
        </w:rPr>
        <w:t>In his judgment delivered o</w:t>
      </w:r>
      <w:r w:rsidR="001470AA" w:rsidRPr="00A0305D">
        <w:rPr>
          <w:rFonts w:ascii="Arial" w:hAnsi="Arial" w:cs="Arial"/>
          <w:lang w:val="en-GB"/>
        </w:rPr>
        <w:t xml:space="preserve">n </w:t>
      </w:r>
      <w:r w:rsidR="009572A7">
        <w:rPr>
          <w:rFonts w:ascii="Arial" w:hAnsi="Arial" w:cs="Arial"/>
          <w:lang w:val="en-GB"/>
        </w:rPr>
        <w:t xml:space="preserve">11 </w:t>
      </w:r>
      <w:r w:rsidR="001470AA" w:rsidRPr="00A0305D">
        <w:rPr>
          <w:rFonts w:ascii="Arial" w:hAnsi="Arial" w:cs="Arial"/>
          <w:lang w:val="en-GB"/>
        </w:rPr>
        <w:t xml:space="preserve">April 1986, </w:t>
      </w:r>
      <w:proofErr w:type="spellStart"/>
      <w:r w:rsidRPr="00A0305D">
        <w:rPr>
          <w:rFonts w:ascii="Arial" w:hAnsi="Arial" w:cs="Arial"/>
          <w:lang w:val="en-GB"/>
        </w:rPr>
        <w:t>Gonsalves-Sabola</w:t>
      </w:r>
      <w:proofErr w:type="spellEnd"/>
      <w:r w:rsidRPr="00A0305D">
        <w:rPr>
          <w:rFonts w:ascii="Arial" w:hAnsi="Arial" w:cs="Arial"/>
          <w:lang w:val="en-GB"/>
        </w:rPr>
        <w:t xml:space="preserve"> described </w:t>
      </w:r>
      <w:r w:rsidR="001470AA" w:rsidRPr="00A0305D">
        <w:rPr>
          <w:rFonts w:ascii="Arial" w:hAnsi="Arial" w:cs="Arial"/>
          <w:lang w:val="en-GB"/>
        </w:rPr>
        <w:t xml:space="preserve">Thaddeus Johnson </w:t>
      </w:r>
      <w:r w:rsidR="00EE35D6" w:rsidRPr="00A0305D">
        <w:rPr>
          <w:rFonts w:ascii="Arial" w:hAnsi="Arial" w:cs="Arial"/>
          <w:lang w:val="en-GB"/>
        </w:rPr>
        <w:t>“</w:t>
      </w:r>
      <w:r w:rsidRPr="00061B54">
        <w:rPr>
          <w:rFonts w:ascii="Arial" w:hAnsi="Arial" w:cs="Arial"/>
          <w:i/>
          <w:lang w:val="en-GB"/>
        </w:rPr>
        <w:t xml:space="preserve">as a man </w:t>
      </w:r>
      <w:r w:rsidR="007F2238" w:rsidRPr="00061B54">
        <w:rPr>
          <w:rFonts w:ascii="Arial" w:hAnsi="Arial" w:cs="Arial"/>
          <w:i/>
          <w:lang w:val="en-GB"/>
        </w:rPr>
        <w:t xml:space="preserve">of humble </w:t>
      </w:r>
      <w:r w:rsidRPr="00061B54">
        <w:rPr>
          <w:rFonts w:ascii="Arial" w:hAnsi="Arial" w:cs="Arial"/>
          <w:i/>
          <w:lang w:val="en-GB"/>
        </w:rPr>
        <w:t>means who was getting on in years whose thought processes were not fully in command of the somewhat involved business transaction in which he, nominally, was a central figure</w:t>
      </w:r>
      <w:r w:rsidR="00EE35D6" w:rsidRPr="00A0305D">
        <w:rPr>
          <w:rFonts w:ascii="Arial" w:hAnsi="Arial" w:cs="Arial"/>
          <w:lang w:val="en-GB"/>
        </w:rPr>
        <w:t>”</w:t>
      </w:r>
      <w:r w:rsidRPr="00A0305D">
        <w:rPr>
          <w:rFonts w:ascii="Arial" w:hAnsi="Arial" w:cs="Arial"/>
          <w:lang w:val="en-GB"/>
        </w:rPr>
        <w:t xml:space="preserve">. At page 9 of his judgment. Melville JA </w:t>
      </w:r>
      <w:r w:rsidR="00EE35D6" w:rsidRPr="00A0305D">
        <w:rPr>
          <w:rFonts w:ascii="Arial" w:hAnsi="Arial" w:cs="Arial"/>
          <w:lang w:val="en-GB"/>
        </w:rPr>
        <w:t>said that “</w:t>
      </w:r>
      <w:r w:rsidR="00A0305D" w:rsidRPr="00A0305D">
        <w:rPr>
          <w:rFonts w:ascii="Arial" w:hAnsi="Arial" w:cs="Arial"/>
          <w:i/>
          <w:lang w:val="en-GB"/>
        </w:rPr>
        <w:t>[</w:t>
      </w:r>
      <w:r w:rsidR="00566A7B" w:rsidRPr="00A0305D">
        <w:rPr>
          <w:rFonts w:ascii="Arial" w:hAnsi="Arial" w:cs="Arial"/>
          <w:i/>
          <w:lang w:val="en-GB"/>
        </w:rPr>
        <w:t>O</w:t>
      </w:r>
      <w:r w:rsidR="00A0305D" w:rsidRPr="00A0305D">
        <w:rPr>
          <w:rFonts w:ascii="Arial" w:hAnsi="Arial" w:cs="Arial"/>
          <w:i/>
          <w:lang w:val="en-GB"/>
        </w:rPr>
        <w:t>]</w:t>
      </w:r>
      <w:r w:rsidR="00566A7B" w:rsidRPr="00A0305D">
        <w:rPr>
          <w:rFonts w:ascii="Arial" w:hAnsi="Arial" w:cs="Arial"/>
          <w:i/>
          <w:lang w:val="en-GB"/>
        </w:rPr>
        <w:t xml:space="preserve">ne would have some difficulty in accepting </w:t>
      </w:r>
      <w:proofErr w:type="spellStart"/>
      <w:r w:rsidR="00566A7B" w:rsidRPr="00A0305D">
        <w:rPr>
          <w:rFonts w:ascii="Arial" w:hAnsi="Arial" w:cs="Arial"/>
          <w:i/>
          <w:lang w:val="en-GB"/>
        </w:rPr>
        <w:t>Mr.</w:t>
      </w:r>
      <w:proofErr w:type="spellEnd"/>
      <w:r w:rsidR="00566A7B" w:rsidRPr="00A0305D">
        <w:rPr>
          <w:rFonts w:ascii="Arial" w:hAnsi="Arial" w:cs="Arial"/>
          <w:i/>
          <w:lang w:val="en-GB"/>
        </w:rPr>
        <w:t xml:space="preserve"> Johnson’s evidence (the proceedings in action No. 10 of 1982 were put in evidence before the trial judge in this action) that he had been cultivating some 500 acres, including the disputed lots from 1935 </w:t>
      </w:r>
      <w:r w:rsidR="00EE35D6" w:rsidRPr="00A0305D">
        <w:rPr>
          <w:rFonts w:ascii="Arial" w:hAnsi="Arial" w:cs="Arial"/>
          <w:i/>
          <w:u w:val="single"/>
          <w:lang w:val="en-GB"/>
        </w:rPr>
        <w:t xml:space="preserve">when he was a mere stripling </w:t>
      </w:r>
      <w:r w:rsidR="00566A7B" w:rsidRPr="00A0305D">
        <w:rPr>
          <w:rFonts w:ascii="Arial" w:hAnsi="Arial" w:cs="Arial"/>
          <w:i/>
          <w:u w:val="single"/>
          <w:lang w:val="en-GB"/>
        </w:rPr>
        <w:t xml:space="preserve">of approximately 10 or 12 years of age. These matters were all part of </w:t>
      </w:r>
      <w:proofErr w:type="spellStart"/>
      <w:r w:rsidR="00566A7B" w:rsidRPr="00A0305D">
        <w:rPr>
          <w:rFonts w:ascii="Arial" w:hAnsi="Arial" w:cs="Arial"/>
          <w:i/>
          <w:u w:val="single"/>
          <w:lang w:val="en-GB"/>
        </w:rPr>
        <w:t>Mr.</w:t>
      </w:r>
      <w:proofErr w:type="spellEnd"/>
      <w:r w:rsidR="00566A7B" w:rsidRPr="00A0305D">
        <w:rPr>
          <w:rFonts w:ascii="Arial" w:hAnsi="Arial" w:cs="Arial"/>
          <w:i/>
          <w:u w:val="single"/>
          <w:lang w:val="en-GB"/>
        </w:rPr>
        <w:t xml:space="preserve"> Johnson’s petition, so that he was most certainly aware of them, or presumed to be aware of them, they knowingly and deliber</w:t>
      </w:r>
      <w:r w:rsidR="00566A7B" w:rsidRPr="00A0305D">
        <w:rPr>
          <w:rFonts w:ascii="Arial" w:hAnsi="Arial" w:cs="Arial"/>
          <w:i/>
          <w:sz w:val="22"/>
          <w:szCs w:val="22"/>
          <w:u w:val="single"/>
          <w:lang w:val="en-GB"/>
        </w:rPr>
        <w:t>ately misled the court in granting the certificate of title to him</w:t>
      </w:r>
      <w:r w:rsidR="00ED75F8" w:rsidRPr="00A0305D">
        <w:rPr>
          <w:rFonts w:ascii="Arial" w:hAnsi="Arial" w:cs="Arial"/>
          <w:sz w:val="22"/>
          <w:szCs w:val="22"/>
          <w:lang w:val="en-GB"/>
        </w:rPr>
        <w:t>.</w:t>
      </w:r>
      <w:r w:rsidR="002E7C3E" w:rsidRPr="00A0305D">
        <w:rPr>
          <w:rFonts w:ascii="Arial" w:hAnsi="Arial" w:cs="Arial"/>
          <w:sz w:val="22"/>
          <w:szCs w:val="22"/>
          <w:lang w:val="en-GB"/>
        </w:rPr>
        <w:t>”</w:t>
      </w:r>
    </w:p>
    <w:p w:rsidR="00A0305D" w:rsidRPr="00A0305D" w:rsidRDefault="00A0305D" w:rsidP="00A0305D">
      <w:pPr>
        <w:pStyle w:val="ListParagraph"/>
        <w:widowControl w:val="0"/>
        <w:autoSpaceDE w:val="0"/>
        <w:autoSpaceDN w:val="0"/>
        <w:jc w:val="both"/>
        <w:rPr>
          <w:rFonts w:ascii="Arial" w:hAnsi="Arial" w:cs="Arial"/>
          <w:lang w:val="en-GB"/>
        </w:rPr>
      </w:pPr>
    </w:p>
    <w:p w:rsidR="00611538" w:rsidRDefault="00566A7B" w:rsidP="00566A7B">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 xml:space="preserve">In my considered opinion, the </w:t>
      </w:r>
      <w:r w:rsidR="00EE35D6">
        <w:rPr>
          <w:rFonts w:ascii="Arial" w:hAnsi="Arial" w:cs="Arial"/>
          <w:lang w:val="en-GB"/>
        </w:rPr>
        <w:t xml:space="preserve">above </w:t>
      </w:r>
      <w:r w:rsidR="00D749D9">
        <w:rPr>
          <w:rFonts w:ascii="Arial" w:hAnsi="Arial" w:cs="Arial"/>
          <w:lang w:val="en-GB"/>
        </w:rPr>
        <w:t>opinions</w:t>
      </w:r>
      <w:r>
        <w:rPr>
          <w:rFonts w:ascii="Arial" w:hAnsi="Arial" w:cs="Arial"/>
          <w:lang w:val="en-GB"/>
        </w:rPr>
        <w:t xml:space="preserve"> </w:t>
      </w:r>
      <w:r w:rsidR="00ED75F8">
        <w:rPr>
          <w:rFonts w:ascii="Arial" w:hAnsi="Arial" w:cs="Arial"/>
          <w:lang w:val="en-GB"/>
        </w:rPr>
        <w:t xml:space="preserve">of two courts; one a superior court, </w:t>
      </w:r>
      <w:r w:rsidR="00EE35D6">
        <w:rPr>
          <w:rFonts w:ascii="Arial" w:hAnsi="Arial" w:cs="Arial"/>
          <w:lang w:val="en-GB"/>
        </w:rPr>
        <w:t xml:space="preserve">are sufficient </w:t>
      </w:r>
      <w:r>
        <w:rPr>
          <w:rFonts w:ascii="Arial" w:hAnsi="Arial" w:cs="Arial"/>
          <w:lang w:val="en-GB"/>
        </w:rPr>
        <w:t xml:space="preserve">to discredit the credibility of Thaddeus Johnson. </w:t>
      </w:r>
      <w:r w:rsidRPr="00566A7B">
        <w:rPr>
          <w:rFonts w:ascii="Arial" w:hAnsi="Arial" w:cs="Arial"/>
          <w:lang w:val="en-GB"/>
        </w:rPr>
        <w:t xml:space="preserve">And what would </w:t>
      </w:r>
      <w:proofErr w:type="spellStart"/>
      <w:r w:rsidRPr="00566A7B">
        <w:rPr>
          <w:rFonts w:ascii="Arial" w:hAnsi="Arial" w:cs="Arial"/>
          <w:lang w:val="en-GB"/>
        </w:rPr>
        <w:t>Eleazor</w:t>
      </w:r>
      <w:proofErr w:type="spellEnd"/>
      <w:r w:rsidRPr="00566A7B">
        <w:rPr>
          <w:rFonts w:ascii="Arial" w:hAnsi="Arial" w:cs="Arial"/>
          <w:lang w:val="en-GB"/>
        </w:rPr>
        <w:t xml:space="preserve"> Ferguson’s evidence </w:t>
      </w:r>
      <w:r>
        <w:rPr>
          <w:rFonts w:ascii="Arial" w:hAnsi="Arial" w:cs="Arial"/>
          <w:lang w:val="en-GB"/>
        </w:rPr>
        <w:t>be since he has</w:t>
      </w:r>
      <w:r w:rsidR="00AE4EEE">
        <w:rPr>
          <w:rFonts w:ascii="Arial" w:hAnsi="Arial" w:cs="Arial"/>
          <w:lang w:val="en-GB"/>
        </w:rPr>
        <w:t xml:space="preserve"> </w:t>
      </w:r>
      <w:r>
        <w:rPr>
          <w:rFonts w:ascii="Arial" w:hAnsi="Arial" w:cs="Arial"/>
          <w:lang w:val="en-GB"/>
        </w:rPr>
        <w:t>put in no evidence, affidavit or documentary after</w:t>
      </w:r>
      <w:r w:rsidR="000B5914" w:rsidRPr="00566A7B">
        <w:rPr>
          <w:rFonts w:ascii="Arial" w:hAnsi="Arial" w:cs="Arial"/>
          <w:lang w:val="en-GB"/>
        </w:rPr>
        <w:t xml:space="preserve"> </w:t>
      </w:r>
      <w:r w:rsidR="00611538" w:rsidRPr="00566A7B">
        <w:rPr>
          <w:rFonts w:ascii="Arial" w:hAnsi="Arial" w:cs="Arial"/>
          <w:lang w:val="en-GB"/>
        </w:rPr>
        <w:t>26 long years (he died in 2011)</w:t>
      </w:r>
      <w:r w:rsidR="00AE4EEE">
        <w:rPr>
          <w:rFonts w:ascii="Arial" w:hAnsi="Arial" w:cs="Arial"/>
          <w:lang w:val="en-GB"/>
        </w:rPr>
        <w:t>?</w:t>
      </w:r>
      <w:r>
        <w:rPr>
          <w:rFonts w:ascii="Arial" w:hAnsi="Arial" w:cs="Arial"/>
          <w:lang w:val="en-GB"/>
        </w:rPr>
        <w:t xml:space="preserve"> </w:t>
      </w:r>
      <w:r w:rsidR="00EE35D6">
        <w:rPr>
          <w:rFonts w:ascii="Arial" w:hAnsi="Arial" w:cs="Arial"/>
          <w:lang w:val="en-GB"/>
        </w:rPr>
        <w:t xml:space="preserve">As I see it, </w:t>
      </w:r>
      <w:r w:rsidR="00AE4EEE">
        <w:rPr>
          <w:rFonts w:ascii="Arial" w:hAnsi="Arial" w:cs="Arial"/>
          <w:lang w:val="en-GB"/>
        </w:rPr>
        <w:t xml:space="preserve">it could </w:t>
      </w:r>
      <w:r w:rsidR="00EE35D6">
        <w:rPr>
          <w:rFonts w:ascii="Arial" w:hAnsi="Arial" w:cs="Arial"/>
          <w:lang w:val="en-GB"/>
        </w:rPr>
        <w:t xml:space="preserve">only </w:t>
      </w:r>
      <w:r w:rsidR="008544B1">
        <w:rPr>
          <w:rFonts w:ascii="Arial" w:hAnsi="Arial" w:cs="Arial"/>
          <w:lang w:val="en-GB"/>
        </w:rPr>
        <w:t>be the</w:t>
      </w:r>
      <w:r w:rsidR="00AE4EEE">
        <w:rPr>
          <w:rFonts w:ascii="Arial" w:hAnsi="Arial" w:cs="Arial"/>
          <w:lang w:val="en-GB"/>
        </w:rPr>
        <w:t xml:space="preserve"> </w:t>
      </w:r>
      <w:r>
        <w:rPr>
          <w:rFonts w:ascii="Arial" w:hAnsi="Arial" w:cs="Arial"/>
          <w:lang w:val="en-GB"/>
        </w:rPr>
        <w:t>following:</w:t>
      </w:r>
    </w:p>
    <w:p w:rsidR="007126B8" w:rsidRPr="007126B8" w:rsidRDefault="007126B8" w:rsidP="007126B8">
      <w:pPr>
        <w:widowControl w:val="0"/>
        <w:autoSpaceDE w:val="0"/>
        <w:autoSpaceDN w:val="0"/>
        <w:spacing w:line="360" w:lineRule="auto"/>
        <w:jc w:val="both"/>
        <w:rPr>
          <w:rFonts w:ascii="Arial" w:hAnsi="Arial" w:cs="Arial"/>
          <w:lang w:val="en-GB"/>
        </w:rPr>
      </w:pPr>
    </w:p>
    <w:p w:rsidR="00E038DB" w:rsidRDefault="00566A7B" w:rsidP="00566A7B">
      <w:pPr>
        <w:pStyle w:val="ListParagraph"/>
        <w:widowControl w:val="0"/>
        <w:numPr>
          <w:ilvl w:val="0"/>
          <w:numId w:val="14"/>
        </w:numPr>
        <w:autoSpaceDE w:val="0"/>
        <w:autoSpaceDN w:val="0"/>
        <w:jc w:val="both"/>
        <w:rPr>
          <w:rFonts w:ascii="Arial" w:hAnsi="Arial" w:cs="Arial"/>
          <w:lang w:val="en-GB"/>
        </w:rPr>
      </w:pPr>
      <w:r>
        <w:rPr>
          <w:rFonts w:ascii="Arial" w:hAnsi="Arial" w:cs="Arial"/>
          <w:lang w:val="en-GB"/>
        </w:rPr>
        <w:t>He</w:t>
      </w:r>
      <w:r w:rsidR="00E038DB" w:rsidRPr="00566A7B">
        <w:rPr>
          <w:rFonts w:ascii="Arial" w:hAnsi="Arial" w:cs="Arial"/>
          <w:lang w:val="en-GB"/>
        </w:rPr>
        <w:t xml:space="preserve"> bought </w:t>
      </w:r>
      <w:r w:rsidR="00611538" w:rsidRPr="00566A7B">
        <w:rPr>
          <w:rFonts w:ascii="Arial" w:hAnsi="Arial" w:cs="Arial"/>
          <w:lang w:val="en-GB"/>
        </w:rPr>
        <w:t>land</w:t>
      </w:r>
      <w:r w:rsidR="00E038DB" w:rsidRPr="00566A7B">
        <w:rPr>
          <w:rFonts w:ascii="Arial" w:hAnsi="Arial" w:cs="Arial"/>
          <w:lang w:val="en-GB"/>
        </w:rPr>
        <w:t>s (</w:t>
      </w:r>
      <w:r w:rsidR="00611538" w:rsidRPr="00566A7B">
        <w:rPr>
          <w:rFonts w:ascii="Arial" w:hAnsi="Arial" w:cs="Arial"/>
          <w:lang w:val="en-GB"/>
        </w:rPr>
        <w:t xml:space="preserve">described in the Ferguson’s Certificate of Title </w:t>
      </w:r>
      <w:r w:rsidR="00E038DB" w:rsidRPr="00566A7B">
        <w:rPr>
          <w:rFonts w:ascii="Arial" w:hAnsi="Arial" w:cs="Arial"/>
          <w:lang w:val="en-GB"/>
        </w:rPr>
        <w:t xml:space="preserve">as </w:t>
      </w:r>
      <w:r w:rsidR="00611538" w:rsidRPr="00566A7B">
        <w:rPr>
          <w:rFonts w:ascii="Arial" w:hAnsi="Arial" w:cs="Arial"/>
          <w:lang w:val="en-GB"/>
        </w:rPr>
        <w:t>compris</w:t>
      </w:r>
      <w:r w:rsidR="00E038DB" w:rsidRPr="00566A7B">
        <w:rPr>
          <w:rFonts w:ascii="Arial" w:hAnsi="Arial" w:cs="Arial"/>
          <w:lang w:val="en-GB"/>
        </w:rPr>
        <w:t>ing</w:t>
      </w:r>
      <w:r w:rsidR="00611538" w:rsidRPr="00566A7B">
        <w:rPr>
          <w:rFonts w:ascii="Arial" w:hAnsi="Arial" w:cs="Arial"/>
          <w:lang w:val="en-GB"/>
        </w:rPr>
        <w:t xml:space="preserve"> all of Blocks numbered 89, 90, 91, 94, 127, 35, 136 and 164 of the Nassau Village Subdivision which blocks were also identified by means of the 1926 plan which was filed in support</w:t>
      </w:r>
      <w:r w:rsidR="00E038DB" w:rsidRPr="00566A7B">
        <w:rPr>
          <w:rFonts w:ascii="Arial" w:hAnsi="Arial" w:cs="Arial"/>
          <w:lang w:val="en-GB"/>
        </w:rPr>
        <w:t xml:space="preserve"> of Thaddeus Johnson’s </w:t>
      </w:r>
      <w:r w:rsidR="00E038DB" w:rsidRPr="00566A7B">
        <w:rPr>
          <w:rFonts w:ascii="Arial" w:hAnsi="Arial" w:cs="Arial"/>
          <w:lang w:val="en-GB"/>
        </w:rPr>
        <w:lastRenderedPageBreak/>
        <w:t>Petition)</w:t>
      </w:r>
      <w:r w:rsidR="00611538" w:rsidRPr="00566A7B">
        <w:rPr>
          <w:rFonts w:ascii="Arial" w:hAnsi="Arial" w:cs="Arial"/>
          <w:lang w:val="en-GB"/>
        </w:rPr>
        <w:t xml:space="preserve"> from Thaddeus Johnson: see Conveyance dated 15 August 1984</w:t>
      </w:r>
      <w:r w:rsidR="00E038DB" w:rsidRPr="00566A7B">
        <w:rPr>
          <w:rFonts w:ascii="Arial" w:hAnsi="Arial" w:cs="Arial"/>
          <w:lang w:val="en-GB"/>
        </w:rPr>
        <w:t>;</w:t>
      </w:r>
    </w:p>
    <w:p w:rsidR="00566A7B" w:rsidRDefault="00566A7B" w:rsidP="00566A7B">
      <w:pPr>
        <w:pStyle w:val="ListParagraph"/>
        <w:widowControl w:val="0"/>
        <w:autoSpaceDE w:val="0"/>
        <w:autoSpaceDN w:val="0"/>
        <w:ind w:left="1440"/>
        <w:jc w:val="both"/>
        <w:rPr>
          <w:rFonts w:ascii="Arial" w:hAnsi="Arial" w:cs="Arial"/>
          <w:lang w:val="en-GB"/>
        </w:rPr>
      </w:pPr>
    </w:p>
    <w:p w:rsidR="00611538" w:rsidRDefault="00E038DB" w:rsidP="00566A7B">
      <w:pPr>
        <w:pStyle w:val="ListParagraph"/>
        <w:widowControl w:val="0"/>
        <w:numPr>
          <w:ilvl w:val="0"/>
          <w:numId w:val="14"/>
        </w:numPr>
        <w:autoSpaceDE w:val="0"/>
        <w:autoSpaceDN w:val="0"/>
        <w:jc w:val="both"/>
        <w:rPr>
          <w:rFonts w:ascii="Arial" w:hAnsi="Arial" w:cs="Arial"/>
          <w:lang w:val="en-GB"/>
        </w:rPr>
      </w:pPr>
      <w:r w:rsidRPr="00566A7B">
        <w:rPr>
          <w:rFonts w:ascii="Arial" w:hAnsi="Arial" w:cs="Arial"/>
          <w:lang w:val="en-GB"/>
        </w:rPr>
        <w:t>The lands were bought s</w:t>
      </w:r>
      <w:r w:rsidR="00611538" w:rsidRPr="00566A7B">
        <w:rPr>
          <w:rFonts w:ascii="Arial" w:hAnsi="Arial" w:cs="Arial"/>
          <w:lang w:val="en-GB"/>
        </w:rPr>
        <w:t>ome two years after the presentation of the Petition and before the grant of the Thaddeus Johnson’s Certific</w:t>
      </w:r>
      <w:r w:rsidRPr="00566A7B">
        <w:rPr>
          <w:rFonts w:ascii="Arial" w:hAnsi="Arial" w:cs="Arial"/>
          <w:lang w:val="en-GB"/>
        </w:rPr>
        <w:t>ate of Title on 28 January 1985;</w:t>
      </w:r>
    </w:p>
    <w:p w:rsidR="00566A7B" w:rsidRPr="00566A7B" w:rsidRDefault="00566A7B" w:rsidP="00566A7B">
      <w:pPr>
        <w:pStyle w:val="ListParagraph"/>
        <w:rPr>
          <w:rFonts w:ascii="Arial" w:hAnsi="Arial" w:cs="Arial"/>
          <w:lang w:val="en-GB"/>
        </w:rPr>
      </w:pPr>
    </w:p>
    <w:p w:rsidR="00E038DB" w:rsidRDefault="00566A7B" w:rsidP="00566A7B">
      <w:pPr>
        <w:pStyle w:val="ListParagraph"/>
        <w:widowControl w:val="0"/>
        <w:numPr>
          <w:ilvl w:val="0"/>
          <w:numId w:val="14"/>
        </w:numPr>
        <w:autoSpaceDE w:val="0"/>
        <w:autoSpaceDN w:val="0"/>
        <w:jc w:val="both"/>
        <w:rPr>
          <w:rFonts w:ascii="Arial" w:hAnsi="Arial" w:cs="Arial"/>
          <w:lang w:val="en-GB"/>
        </w:rPr>
      </w:pPr>
      <w:r>
        <w:rPr>
          <w:rFonts w:ascii="Arial" w:hAnsi="Arial" w:cs="Arial"/>
          <w:lang w:val="en-GB"/>
        </w:rPr>
        <w:t>He</w:t>
      </w:r>
      <w:r w:rsidR="00E038DB" w:rsidRPr="00566A7B">
        <w:rPr>
          <w:rFonts w:ascii="Arial" w:hAnsi="Arial" w:cs="Arial"/>
          <w:lang w:val="en-GB"/>
        </w:rPr>
        <w:t xml:space="preserve"> was an adverse claimant in Action No. 10 of 1982; and</w:t>
      </w:r>
    </w:p>
    <w:p w:rsidR="00566A7B" w:rsidRPr="00566A7B" w:rsidRDefault="00566A7B" w:rsidP="00566A7B">
      <w:pPr>
        <w:pStyle w:val="ListParagraph"/>
        <w:rPr>
          <w:rFonts w:ascii="Arial" w:hAnsi="Arial" w:cs="Arial"/>
          <w:lang w:val="en-GB"/>
        </w:rPr>
      </w:pPr>
    </w:p>
    <w:p w:rsidR="00611538" w:rsidRPr="00566A7B" w:rsidRDefault="00E038DB" w:rsidP="00566A7B">
      <w:pPr>
        <w:pStyle w:val="ListParagraph"/>
        <w:widowControl w:val="0"/>
        <w:numPr>
          <w:ilvl w:val="0"/>
          <w:numId w:val="14"/>
        </w:numPr>
        <w:autoSpaceDE w:val="0"/>
        <w:autoSpaceDN w:val="0"/>
        <w:jc w:val="both"/>
        <w:rPr>
          <w:rFonts w:ascii="Arial" w:hAnsi="Arial" w:cs="Arial"/>
          <w:lang w:val="en-GB"/>
        </w:rPr>
      </w:pPr>
      <w:r w:rsidRPr="00566A7B">
        <w:rPr>
          <w:rFonts w:ascii="Arial" w:hAnsi="Arial" w:cs="Arial"/>
          <w:lang w:val="en-GB"/>
        </w:rPr>
        <w:t xml:space="preserve">He </w:t>
      </w:r>
      <w:r w:rsidR="00611538" w:rsidRPr="00566A7B">
        <w:rPr>
          <w:rFonts w:ascii="Arial" w:hAnsi="Arial" w:cs="Arial"/>
          <w:lang w:val="en-GB"/>
        </w:rPr>
        <w:t>is the holder of a certificate of title granted on 28 January 1985 and issued on 30 January 1985 in Action No. 10 of 1982;</w:t>
      </w:r>
    </w:p>
    <w:p w:rsidR="00611538" w:rsidRPr="00566A7B" w:rsidRDefault="00611538" w:rsidP="007126B8">
      <w:pPr>
        <w:pStyle w:val="ListParagraph"/>
        <w:widowControl w:val="0"/>
        <w:autoSpaceDE w:val="0"/>
        <w:autoSpaceDN w:val="0"/>
        <w:spacing w:line="360" w:lineRule="auto"/>
        <w:ind w:left="1800"/>
        <w:jc w:val="both"/>
        <w:rPr>
          <w:rFonts w:ascii="Arial" w:hAnsi="Arial" w:cs="Arial"/>
          <w:lang w:val="en-GB"/>
        </w:rPr>
      </w:pPr>
      <w:r w:rsidRPr="00611538">
        <w:rPr>
          <w:rFonts w:ascii="Arial" w:hAnsi="Arial" w:cs="Arial"/>
          <w:lang w:val="en-GB"/>
        </w:rPr>
        <w:t xml:space="preserve"> </w:t>
      </w:r>
      <w:r w:rsidRPr="00566A7B">
        <w:rPr>
          <w:rFonts w:ascii="Arial" w:hAnsi="Arial" w:cs="Arial"/>
          <w:lang w:val="en-GB"/>
        </w:rPr>
        <w:t xml:space="preserve"> </w:t>
      </w:r>
    </w:p>
    <w:p w:rsidR="00AE4EEE" w:rsidRDefault="00611538" w:rsidP="007126B8">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 xml:space="preserve">In my opinion, </w:t>
      </w:r>
      <w:r w:rsidR="00EE35D6">
        <w:rPr>
          <w:rFonts w:ascii="Arial" w:hAnsi="Arial" w:cs="Arial"/>
          <w:lang w:val="en-GB"/>
        </w:rPr>
        <w:t>a</w:t>
      </w:r>
      <w:r w:rsidR="001A6F62">
        <w:rPr>
          <w:rFonts w:ascii="Arial" w:hAnsi="Arial" w:cs="Arial"/>
          <w:lang w:val="en-GB"/>
        </w:rPr>
        <w:t xml:space="preserve"> proper interpretation of the previous judgments of the Supreme Court, </w:t>
      </w:r>
      <w:r w:rsidR="00EE35D6">
        <w:rPr>
          <w:rFonts w:ascii="Arial" w:hAnsi="Arial" w:cs="Arial"/>
          <w:lang w:val="en-GB"/>
        </w:rPr>
        <w:t xml:space="preserve">the </w:t>
      </w:r>
      <w:r w:rsidR="001A6F62">
        <w:rPr>
          <w:rFonts w:ascii="Arial" w:hAnsi="Arial" w:cs="Arial"/>
          <w:lang w:val="en-GB"/>
        </w:rPr>
        <w:t xml:space="preserve">Court of Appeal and the Privy Council together with the pleadings and evidence in this action is all that </w:t>
      </w:r>
      <w:r w:rsidR="00EE35D6">
        <w:rPr>
          <w:rFonts w:ascii="Arial" w:hAnsi="Arial" w:cs="Arial"/>
          <w:lang w:val="en-GB"/>
        </w:rPr>
        <w:t>the court needs</w:t>
      </w:r>
      <w:r w:rsidR="001A6F62">
        <w:rPr>
          <w:rFonts w:ascii="Arial" w:hAnsi="Arial" w:cs="Arial"/>
          <w:lang w:val="en-GB"/>
        </w:rPr>
        <w:t xml:space="preserve"> to de</w:t>
      </w:r>
      <w:r w:rsidR="0051165B">
        <w:rPr>
          <w:rFonts w:ascii="Arial" w:hAnsi="Arial" w:cs="Arial"/>
          <w:lang w:val="en-GB"/>
        </w:rPr>
        <w:t>termine</w:t>
      </w:r>
      <w:r w:rsidR="001A6F62">
        <w:rPr>
          <w:rFonts w:ascii="Arial" w:hAnsi="Arial" w:cs="Arial"/>
          <w:lang w:val="en-GB"/>
        </w:rPr>
        <w:t xml:space="preserve"> </w:t>
      </w:r>
      <w:r w:rsidR="00EE35D6">
        <w:rPr>
          <w:rFonts w:ascii="Arial" w:hAnsi="Arial" w:cs="Arial"/>
          <w:lang w:val="en-GB"/>
        </w:rPr>
        <w:t xml:space="preserve">the validity of the certificate of title which was granted to </w:t>
      </w:r>
      <w:proofErr w:type="spellStart"/>
      <w:r w:rsidR="00EE35D6">
        <w:rPr>
          <w:rFonts w:ascii="Arial" w:hAnsi="Arial" w:cs="Arial"/>
          <w:lang w:val="en-GB"/>
        </w:rPr>
        <w:t>Eleazor</w:t>
      </w:r>
      <w:proofErr w:type="spellEnd"/>
      <w:r w:rsidR="00EE35D6">
        <w:rPr>
          <w:rFonts w:ascii="Arial" w:hAnsi="Arial" w:cs="Arial"/>
          <w:lang w:val="en-GB"/>
        </w:rPr>
        <w:t xml:space="preserve"> Ferguson in 1985. As I see it, </w:t>
      </w:r>
      <w:r w:rsidR="001A6F62">
        <w:rPr>
          <w:rFonts w:ascii="Arial" w:hAnsi="Arial" w:cs="Arial"/>
          <w:lang w:val="en-GB"/>
        </w:rPr>
        <w:t xml:space="preserve">a full-blown trial would </w:t>
      </w:r>
      <w:r w:rsidR="00667DFF">
        <w:rPr>
          <w:rFonts w:ascii="Arial" w:hAnsi="Arial" w:cs="Arial"/>
          <w:lang w:val="en-GB"/>
        </w:rPr>
        <w:t xml:space="preserve">be or could have been </w:t>
      </w:r>
      <w:r w:rsidR="001A6F62">
        <w:rPr>
          <w:rFonts w:ascii="Arial" w:hAnsi="Arial" w:cs="Arial"/>
          <w:lang w:val="en-GB"/>
        </w:rPr>
        <w:t xml:space="preserve">a </w:t>
      </w:r>
      <w:r w:rsidRPr="00566A7B">
        <w:rPr>
          <w:rFonts w:ascii="Arial" w:hAnsi="Arial" w:cs="Arial"/>
          <w:lang w:val="en-GB"/>
        </w:rPr>
        <w:t xml:space="preserve">colossal </w:t>
      </w:r>
      <w:r w:rsidR="00EE35D6">
        <w:rPr>
          <w:rFonts w:ascii="Arial" w:hAnsi="Arial" w:cs="Arial"/>
          <w:lang w:val="en-GB"/>
        </w:rPr>
        <w:t xml:space="preserve">waste of precious judicial time. </w:t>
      </w:r>
    </w:p>
    <w:p w:rsidR="007126B8" w:rsidRPr="007126B8" w:rsidRDefault="007126B8" w:rsidP="007126B8">
      <w:pPr>
        <w:widowControl w:val="0"/>
        <w:autoSpaceDE w:val="0"/>
        <w:autoSpaceDN w:val="0"/>
        <w:jc w:val="both"/>
        <w:rPr>
          <w:rFonts w:ascii="Arial" w:hAnsi="Arial" w:cs="Arial"/>
          <w:lang w:val="en-GB"/>
        </w:rPr>
      </w:pPr>
    </w:p>
    <w:p w:rsidR="00611538" w:rsidRDefault="00611538" w:rsidP="00611538">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The 2</w:t>
      </w:r>
      <w:r w:rsidRPr="00CF2916">
        <w:rPr>
          <w:rFonts w:ascii="Arial" w:hAnsi="Arial" w:cs="Arial"/>
          <w:vertAlign w:val="superscript"/>
          <w:lang w:val="en-GB"/>
        </w:rPr>
        <w:t>nd</w:t>
      </w:r>
      <w:r w:rsidRPr="00CF2916">
        <w:rPr>
          <w:rFonts w:ascii="Arial" w:hAnsi="Arial" w:cs="Arial"/>
          <w:lang w:val="en-GB"/>
        </w:rPr>
        <w:t xml:space="preserve"> Defendant admitted that the </w:t>
      </w:r>
      <w:r w:rsidR="00AE4EEE">
        <w:rPr>
          <w:rFonts w:ascii="Arial" w:hAnsi="Arial" w:cs="Arial"/>
          <w:lang w:val="en-GB"/>
        </w:rPr>
        <w:t>certificate of t</w:t>
      </w:r>
      <w:r w:rsidRPr="00CF2916">
        <w:rPr>
          <w:rFonts w:ascii="Arial" w:hAnsi="Arial" w:cs="Arial"/>
          <w:lang w:val="en-GB"/>
        </w:rPr>
        <w:t xml:space="preserve">itle granted to </w:t>
      </w:r>
      <w:proofErr w:type="spellStart"/>
      <w:r w:rsidRPr="00CF2916">
        <w:rPr>
          <w:rFonts w:ascii="Arial" w:hAnsi="Arial" w:cs="Arial"/>
          <w:lang w:val="en-GB"/>
        </w:rPr>
        <w:t>Eleaz</w:t>
      </w:r>
      <w:r w:rsidR="00AE4EEE">
        <w:rPr>
          <w:rFonts w:ascii="Arial" w:hAnsi="Arial" w:cs="Arial"/>
          <w:lang w:val="en-GB"/>
        </w:rPr>
        <w:t>o</w:t>
      </w:r>
      <w:r w:rsidRPr="00CF2916">
        <w:rPr>
          <w:rFonts w:ascii="Arial" w:hAnsi="Arial" w:cs="Arial"/>
          <w:lang w:val="en-GB"/>
        </w:rPr>
        <w:t>r</w:t>
      </w:r>
      <w:proofErr w:type="spellEnd"/>
      <w:r w:rsidRPr="00CF2916">
        <w:rPr>
          <w:rFonts w:ascii="Arial" w:hAnsi="Arial" w:cs="Arial"/>
          <w:lang w:val="en-GB"/>
        </w:rPr>
        <w:t xml:space="preserve"> Ferguson was out of the same plan and subject matter that Thaddeus Johnson used when he [Th</w:t>
      </w:r>
      <w:r w:rsidR="00AE4EEE">
        <w:rPr>
          <w:rFonts w:ascii="Arial" w:hAnsi="Arial" w:cs="Arial"/>
          <w:lang w:val="en-GB"/>
        </w:rPr>
        <w:t>addeus Johnson] petitioned the c</w:t>
      </w:r>
      <w:r w:rsidRPr="00CF2916">
        <w:rPr>
          <w:rFonts w:ascii="Arial" w:hAnsi="Arial" w:cs="Arial"/>
          <w:lang w:val="en-GB"/>
        </w:rPr>
        <w:t xml:space="preserve">ourt to have himself declared the owner of what he </w:t>
      </w:r>
      <w:r w:rsidR="00AE4EEE">
        <w:rPr>
          <w:rFonts w:ascii="Arial" w:hAnsi="Arial" w:cs="Arial"/>
          <w:lang w:val="en-GB"/>
        </w:rPr>
        <w:t xml:space="preserve">fraudulently </w:t>
      </w:r>
      <w:r w:rsidRPr="00CF2916">
        <w:rPr>
          <w:rFonts w:ascii="Arial" w:hAnsi="Arial" w:cs="Arial"/>
          <w:lang w:val="en-GB"/>
        </w:rPr>
        <w:t xml:space="preserve">claimed. </w:t>
      </w:r>
      <w:r w:rsidR="00AE4EEE">
        <w:rPr>
          <w:rFonts w:ascii="Arial" w:hAnsi="Arial" w:cs="Arial"/>
          <w:lang w:val="en-GB"/>
        </w:rPr>
        <w:t xml:space="preserve">I agree with learned Queen’s Counsel </w:t>
      </w:r>
      <w:proofErr w:type="spellStart"/>
      <w:r w:rsidR="00AE4EEE">
        <w:rPr>
          <w:rFonts w:ascii="Arial" w:hAnsi="Arial" w:cs="Arial"/>
          <w:lang w:val="en-GB"/>
        </w:rPr>
        <w:t>Mr.</w:t>
      </w:r>
      <w:proofErr w:type="spellEnd"/>
      <w:r w:rsidR="00AE4EEE">
        <w:rPr>
          <w:rFonts w:ascii="Arial" w:hAnsi="Arial" w:cs="Arial"/>
          <w:lang w:val="en-GB"/>
        </w:rPr>
        <w:t xml:space="preserve"> Smith that t</w:t>
      </w:r>
      <w:r w:rsidRPr="00CF2916">
        <w:rPr>
          <w:rFonts w:ascii="Arial" w:hAnsi="Arial" w:cs="Arial"/>
          <w:lang w:val="en-GB"/>
        </w:rPr>
        <w:t>he said fraudulence that doomed the certificate of title granted to Thaddeus Johnson (and that certificate has alr</w:t>
      </w:r>
      <w:r w:rsidR="00A0305D">
        <w:rPr>
          <w:rFonts w:ascii="Arial" w:hAnsi="Arial" w:cs="Arial"/>
          <w:lang w:val="en-GB"/>
        </w:rPr>
        <w:t>eady been set aside by the c</w:t>
      </w:r>
      <w:r w:rsidRPr="00CF2916">
        <w:rPr>
          <w:rFonts w:ascii="Arial" w:hAnsi="Arial" w:cs="Arial"/>
          <w:lang w:val="en-GB"/>
        </w:rPr>
        <w:t>ourt for fraud), must of necessity taint and doom the certificate of tile gr</w:t>
      </w:r>
      <w:r w:rsidR="0039111E">
        <w:rPr>
          <w:rFonts w:ascii="Arial" w:hAnsi="Arial" w:cs="Arial"/>
          <w:lang w:val="en-GB"/>
        </w:rPr>
        <w:t xml:space="preserve">anted to </w:t>
      </w:r>
      <w:proofErr w:type="spellStart"/>
      <w:r w:rsidR="0039111E">
        <w:rPr>
          <w:rFonts w:ascii="Arial" w:hAnsi="Arial" w:cs="Arial"/>
          <w:lang w:val="en-GB"/>
        </w:rPr>
        <w:t>Eleazo</w:t>
      </w:r>
      <w:r w:rsidR="00AE4EEE">
        <w:rPr>
          <w:rFonts w:ascii="Arial" w:hAnsi="Arial" w:cs="Arial"/>
          <w:lang w:val="en-GB"/>
        </w:rPr>
        <w:t>r</w:t>
      </w:r>
      <w:proofErr w:type="spellEnd"/>
      <w:r w:rsidR="00AE4EEE">
        <w:rPr>
          <w:rFonts w:ascii="Arial" w:hAnsi="Arial" w:cs="Arial"/>
          <w:lang w:val="en-GB"/>
        </w:rPr>
        <w:t xml:space="preserve"> Ferguson. The certificate of t</w:t>
      </w:r>
      <w:r w:rsidRPr="00CF2916">
        <w:rPr>
          <w:rFonts w:ascii="Arial" w:hAnsi="Arial" w:cs="Arial"/>
          <w:lang w:val="en-GB"/>
        </w:rPr>
        <w:t xml:space="preserve">itle granted to </w:t>
      </w:r>
      <w:proofErr w:type="spellStart"/>
      <w:r w:rsidRPr="00CF2916">
        <w:rPr>
          <w:rFonts w:ascii="Arial" w:hAnsi="Arial" w:cs="Arial"/>
          <w:lang w:val="en-GB"/>
        </w:rPr>
        <w:t>Eleaz</w:t>
      </w:r>
      <w:r w:rsidR="00AE4EEE">
        <w:rPr>
          <w:rFonts w:ascii="Arial" w:hAnsi="Arial" w:cs="Arial"/>
          <w:lang w:val="en-GB"/>
        </w:rPr>
        <w:t>o</w:t>
      </w:r>
      <w:r w:rsidR="00847190">
        <w:rPr>
          <w:rFonts w:ascii="Arial" w:hAnsi="Arial" w:cs="Arial"/>
          <w:lang w:val="en-GB"/>
        </w:rPr>
        <w:t>r</w:t>
      </w:r>
      <w:proofErr w:type="spellEnd"/>
      <w:r w:rsidR="00847190">
        <w:rPr>
          <w:rFonts w:ascii="Arial" w:hAnsi="Arial" w:cs="Arial"/>
          <w:lang w:val="en-GB"/>
        </w:rPr>
        <w:t xml:space="preserve"> Ferguson was grounded on the P</w:t>
      </w:r>
      <w:r w:rsidRPr="00CF2916">
        <w:rPr>
          <w:rFonts w:ascii="Arial" w:hAnsi="Arial" w:cs="Arial"/>
          <w:lang w:val="en-GB"/>
        </w:rPr>
        <w:t>etition of Thaddeus</w:t>
      </w:r>
      <w:r w:rsidR="00AE4EEE">
        <w:rPr>
          <w:rFonts w:ascii="Arial" w:hAnsi="Arial" w:cs="Arial"/>
          <w:lang w:val="en-GB"/>
        </w:rPr>
        <w:t xml:space="preserve"> Johnson. </w:t>
      </w:r>
      <w:proofErr w:type="spellStart"/>
      <w:r w:rsidR="00AE4EEE">
        <w:rPr>
          <w:rFonts w:ascii="Arial" w:hAnsi="Arial" w:cs="Arial"/>
          <w:lang w:val="en-GB"/>
        </w:rPr>
        <w:t>Eleazo</w:t>
      </w:r>
      <w:r w:rsidRPr="00CF2916">
        <w:rPr>
          <w:rFonts w:ascii="Arial" w:hAnsi="Arial" w:cs="Arial"/>
          <w:lang w:val="en-GB"/>
        </w:rPr>
        <w:t>r</w:t>
      </w:r>
      <w:proofErr w:type="spellEnd"/>
      <w:r w:rsidRPr="00CF2916">
        <w:rPr>
          <w:rFonts w:ascii="Arial" w:hAnsi="Arial" w:cs="Arial"/>
          <w:lang w:val="en-GB"/>
        </w:rPr>
        <w:t xml:space="preserve"> Ferguson bought from Thaddeus Johnson long after Thaddeus Johnson had filed his quieting petition and indeed while the petiti</w:t>
      </w:r>
      <w:r w:rsidR="00AE4EEE">
        <w:rPr>
          <w:rFonts w:ascii="Arial" w:hAnsi="Arial" w:cs="Arial"/>
          <w:lang w:val="en-GB"/>
        </w:rPr>
        <w:t>on was being dealt with by the c</w:t>
      </w:r>
      <w:r w:rsidRPr="00CF2916">
        <w:rPr>
          <w:rFonts w:ascii="Arial" w:hAnsi="Arial" w:cs="Arial"/>
          <w:lang w:val="en-GB"/>
        </w:rPr>
        <w:t>ourt.</w:t>
      </w:r>
    </w:p>
    <w:p w:rsidR="00611538" w:rsidRPr="00CF2916" w:rsidRDefault="00611538" w:rsidP="00611538">
      <w:pPr>
        <w:pStyle w:val="ListParagraph"/>
        <w:rPr>
          <w:rFonts w:ascii="Arial" w:hAnsi="Arial" w:cs="Arial"/>
          <w:lang w:val="en-GB"/>
        </w:rPr>
      </w:pPr>
    </w:p>
    <w:p w:rsidR="00611538" w:rsidRDefault="00AE4EEE" w:rsidP="00611538">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I</w:t>
      </w:r>
      <w:r w:rsidR="00611538" w:rsidRPr="00CF2916">
        <w:rPr>
          <w:rFonts w:ascii="Arial" w:hAnsi="Arial" w:cs="Arial"/>
          <w:lang w:val="en-GB"/>
        </w:rPr>
        <w:t xml:space="preserve">n </w:t>
      </w:r>
      <w:r w:rsidR="00611538" w:rsidRPr="00CF2916">
        <w:rPr>
          <w:rFonts w:ascii="Arial" w:hAnsi="Arial" w:cs="Arial"/>
          <w:b/>
          <w:lang w:val="en-GB"/>
        </w:rPr>
        <w:t>CB Bahamas Limited v Arawak Homes Limited (</w:t>
      </w:r>
      <w:r w:rsidR="00611538" w:rsidRPr="00CF2916">
        <w:rPr>
          <w:rFonts w:ascii="Arial" w:hAnsi="Arial" w:cs="Arial"/>
          <w:lang w:val="en-GB"/>
        </w:rPr>
        <w:t xml:space="preserve">Appeal No. 11 of 1987) the Court of Appeal unanimously confirmed the </w:t>
      </w:r>
      <w:r>
        <w:rPr>
          <w:rFonts w:ascii="Arial" w:hAnsi="Arial" w:cs="Arial"/>
          <w:lang w:val="en-GB"/>
        </w:rPr>
        <w:t>Supreme Court finding that the certificate of t</w:t>
      </w:r>
      <w:r w:rsidR="00611538" w:rsidRPr="00CF2916">
        <w:rPr>
          <w:rFonts w:ascii="Arial" w:hAnsi="Arial" w:cs="Arial"/>
          <w:lang w:val="en-GB"/>
        </w:rPr>
        <w:t xml:space="preserve">itle granted to Thaddeus Johnson was obtained by overwhelming evidence of fraud </w:t>
      </w:r>
      <w:r w:rsidR="001B1514">
        <w:rPr>
          <w:rFonts w:ascii="Arial" w:hAnsi="Arial" w:cs="Arial"/>
          <w:lang w:val="en-GB"/>
        </w:rPr>
        <w:t xml:space="preserve">which </w:t>
      </w:r>
      <w:r w:rsidR="00611538" w:rsidRPr="00CF2916">
        <w:rPr>
          <w:rFonts w:ascii="Arial" w:hAnsi="Arial" w:cs="Arial"/>
          <w:lang w:val="en-GB"/>
        </w:rPr>
        <w:t>also meant that the certif</w:t>
      </w:r>
      <w:r w:rsidR="00671B31">
        <w:rPr>
          <w:rFonts w:ascii="Arial" w:hAnsi="Arial" w:cs="Arial"/>
          <w:lang w:val="en-GB"/>
        </w:rPr>
        <w:t>icate of t</w:t>
      </w:r>
      <w:r>
        <w:rPr>
          <w:rFonts w:ascii="Arial" w:hAnsi="Arial" w:cs="Arial"/>
          <w:lang w:val="en-GB"/>
        </w:rPr>
        <w:t xml:space="preserve">itle granted to </w:t>
      </w:r>
      <w:proofErr w:type="spellStart"/>
      <w:r>
        <w:rPr>
          <w:rFonts w:ascii="Arial" w:hAnsi="Arial" w:cs="Arial"/>
          <w:lang w:val="en-GB"/>
        </w:rPr>
        <w:t>Eleazo</w:t>
      </w:r>
      <w:r w:rsidR="00611538" w:rsidRPr="00CF2916">
        <w:rPr>
          <w:rFonts w:ascii="Arial" w:hAnsi="Arial" w:cs="Arial"/>
          <w:lang w:val="en-GB"/>
        </w:rPr>
        <w:t>r</w:t>
      </w:r>
      <w:proofErr w:type="spellEnd"/>
      <w:r w:rsidR="00611538" w:rsidRPr="00CF2916">
        <w:rPr>
          <w:rFonts w:ascii="Arial" w:hAnsi="Arial" w:cs="Arial"/>
          <w:lang w:val="en-GB"/>
        </w:rPr>
        <w:t xml:space="preserve"> </w:t>
      </w:r>
      <w:r w:rsidR="00611538" w:rsidRPr="00CF2916">
        <w:rPr>
          <w:rFonts w:ascii="Arial" w:hAnsi="Arial" w:cs="Arial"/>
          <w:lang w:val="en-GB"/>
        </w:rPr>
        <w:lastRenderedPageBreak/>
        <w:t>Ferguson (out of the same fraud) would itself have been obtained by fraud.</w:t>
      </w:r>
      <w:r w:rsidR="001B1514">
        <w:rPr>
          <w:rFonts w:ascii="Arial" w:hAnsi="Arial" w:cs="Arial"/>
          <w:lang w:val="en-GB"/>
        </w:rPr>
        <w:t xml:space="preserve"> And this is exactly what Arawak Homes is saying. It is not saying that </w:t>
      </w:r>
      <w:proofErr w:type="spellStart"/>
      <w:r w:rsidR="001B1514">
        <w:rPr>
          <w:rFonts w:ascii="Arial" w:hAnsi="Arial" w:cs="Arial"/>
          <w:lang w:val="en-GB"/>
        </w:rPr>
        <w:t>Eleazor</w:t>
      </w:r>
      <w:proofErr w:type="spellEnd"/>
      <w:r w:rsidR="001B1514">
        <w:rPr>
          <w:rFonts w:ascii="Arial" w:hAnsi="Arial" w:cs="Arial"/>
          <w:lang w:val="en-GB"/>
        </w:rPr>
        <w:t xml:space="preserve"> Ferguson himself committed the fraud to obtain the certificate of title.</w:t>
      </w:r>
    </w:p>
    <w:p w:rsidR="00611538" w:rsidRPr="00CF2916" w:rsidRDefault="00611538" w:rsidP="00611538">
      <w:pPr>
        <w:pStyle w:val="ListParagraph"/>
        <w:rPr>
          <w:rFonts w:ascii="Arial" w:hAnsi="Arial" w:cs="Arial"/>
          <w:lang w:val="en-GB"/>
        </w:rPr>
      </w:pPr>
    </w:p>
    <w:p w:rsidR="00611538" w:rsidRDefault="00611538" w:rsidP="00611538">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 xml:space="preserve">In </w:t>
      </w:r>
      <w:r w:rsidRPr="00CF2916">
        <w:rPr>
          <w:rFonts w:ascii="Arial" w:hAnsi="Arial" w:cs="Arial"/>
          <w:b/>
          <w:lang w:val="en-GB"/>
        </w:rPr>
        <w:t>Dennis Dean and another v Arawak Homes Ltd</w:t>
      </w:r>
      <w:r w:rsidRPr="00CF2916">
        <w:rPr>
          <w:rFonts w:ascii="Arial" w:hAnsi="Arial" w:cs="Arial"/>
          <w:lang w:val="en-GB"/>
        </w:rPr>
        <w:t xml:space="preserve"> [2014] UKPC 24, the Board emphasized the importance of the Supreme Court judgment in </w:t>
      </w:r>
      <w:r w:rsidRPr="00CF2916">
        <w:rPr>
          <w:rFonts w:ascii="Arial" w:hAnsi="Arial" w:cs="Arial"/>
          <w:b/>
          <w:lang w:val="en-GB"/>
        </w:rPr>
        <w:t>CB Bahamas Limited v Arawak Homes Limited</w:t>
      </w:r>
      <w:r w:rsidRPr="00CF2916">
        <w:rPr>
          <w:rFonts w:ascii="Arial" w:hAnsi="Arial" w:cs="Arial"/>
          <w:lang w:val="en-GB"/>
        </w:rPr>
        <w:t xml:space="preserve"> (No. 355 of 1985) [supra] where the issue of whether the judgment was </w:t>
      </w:r>
      <w:r w:rsidRPr="00CF2916">
        <w:rPr>
          <w:rFonts w:ascii="Arial" w:hAnsi="Arial" w:cs="Arial"/>
          <w:i/>
          <w:lang w:val="en-GB"/>
        </w:rPr>
        <w:t xml:space="preserve">in </w:t>
      </w:r>
      <w:proofErr w:type="spellStart"/>
      <w:r w:rsidRPr="00CF2916">
        <w:rPr>
          <w:rFonts w:ascii="Arial" w:hAnsi="Arial" w:cs="Arial"/>
          <w:i/>
          <w:lang w:val="en-GB"/>
        </w:rPr>
        <w:t>personam</w:t>
      </w:r>
      <w:proofErr w:type="spellEnd"/>
      <w:r w:rsidRPr="00CF2916">
        <w:rPr>
          <w:rFonts w:ascii="Arial" w:hAnsi="Arial" w:cs="Arial"/>
          <w:lang w:val="en-GB"/>
        </w:rPr>
        <w:t xml:space="preserve"> or </w:t>
      </w:r>
      <w:r w:rsidRPr="00CF2916">
        <w:rPr>
          <w:rFonts w:ascii="Arial" w:hAnsi="Arial" w:cs="Arial"/>
          <w:i/>
          <w:lang w:val="en-GB"/>
        </w:rPr>
        <w:t xml:space="preserve">in rem </w:t>
      </w:r>
      <w:r w:rsidRPr="00CF2916">
        <w:rPr>
          <w:rFonts w:ascii="Arial" w:hAnsi="Arial" w:cs="Arial"/>
          <w:lang w:val="en-GB"/>
        </w:rPr>
        <w:t xml:space="preserve">arose for consideration. Learned Counsel </w:t>
      </w:r>
      <w:proofErr w:type="spellStart"/>
      <w:r w:rsidRPr="00CF2916">
        <w:rPr>
          <w:rFonts w:ascii="Arial" w:hAnsi="Arial" w:cs="Arial"/>
          <w:lang w:val="en-GB"/>
        </w:rPr>
        <w:t>Mr.</w:t>
      </w:r>
      <w:proofErr w:type="spellEnd"/>
      <w:r w:rsidRPr="00CF2916">
        <w:rPr>
          <w:rFonts w:ascii="Arial" w:hAnsi="Arial" w:cs="Arial"/>
          <w:lang w:val="en-GB"/>
        </w:rPr>
        <w:t xml:space="preserve"> Martin submitted that </w:t>
      </w:r>
      <w:r w:rsidRPr="00CF2916">
        <w:rPr>
          <w:rFonts w:ascii="Arial" w:hAnsi="Arial" w:cs="Arial"/>
          <w:b/>
          <w:lang w:val="en-GB"/>
        </w:rPr>
        <w:t>Dennis Dean</w:t>
      </w:r>
      <w:r w:rsidRPr="00CF2916">
        <w:rPr>
          <w:rFonts w:ascii="Arial" w:hAnsi="Arial" w:cs="Arial"/>
          <w:lang w:val="en-GB"/>
        </w:rPr>
        <w:t xml:space="preserve"> and </w:t>
      </w:r>
      <w:r w:rsidRPr="00CF2916">
        <w:rPr>
          <w:rFonts w:ascii="Arial" w:hAnsi="Arial" w:cs="Arial"/>
          <w:b/>
          <w:lang w:val="en-GB"/>
        </w:rPr>
        <w:t>CB Bahamas</w:t>
      </w:r>
      <w:r w:rsidRPr="00CF2916">
        <w:rPr>
          <w:rFonts w:ascii="Arial" w:hAnsi="Arial" w:cs="Arial"/>
          <w:lang w:val="en-GB"/>
        </w:rPr>
        <w:t xml:space="preserve"> have no relevance to the present case. He asserted that the matter of the finding of fraud in </w:t>
      </w:r>
      <w:r w:rsidRPr="00CF2916">
        <w:rPr>
          <w:rFonts w:ascii="Arial" w:hAnsi="Arial" w:cs="Arial"/>
          <w:b/>
          <w:lang w:val="en-GB"/>
        </w:rPr>
        <w:t>CB Bahamas</w:t>
      </w:r>
      <w:r w:rsidRPr="00CF2916">
        <w:rPr>
          <w:rFonts w:ascii="Arial" w:hAnsi="Arial" w:cs="Arial"/>
          <w:lang w:val="en-GB"/>
        </w:rPr>
        <w:t xml:space="preserve"> has no legal bearing or effect on the present case which must be determined on its own evidence in the course of a full </w:t>
      </w:r>
      <w:r w:rsidR="00671B31">
        <w:rPr>
          <w:rFonts w:ascii="Arial" w:hAnsi="Arial" w:cs="Arial"/>
          <w:lang w:val="en-GB"/>
        </w:rPr>
        <w:t xml:space="preserve">blown </w:t>
      </w:r>
      <w:r w:rsidRPr="00CF2916">
        <w:rPr>
          <w:rFonts w:ascii="Arial" w:hAnsi="Arial" w:cs="Arial"/>
          <w:lang w:val="en-GB"/>
        </w:rPr>
        <w:t>trial.</w:t>
      </w:r>
    </w:p>
    <w:p w:rsidR="00611538" w:rsidRPr="00CF2916" w:rsidRDefault="00611538" w:rsidP="00611538">
      <w:pPr>
        <w:pStyle w:val="ListParagraph"/>
        <w:rPr>
          <w:rFonts w:ascii="Arial" w:hAnsi="Arial" w:cs="Arial"/>
          <w:lang w:val="en-GB"/>
        </w:rPr>
      </w:pPr>
    </w:p>
    <w:p w:rsidR="00696FFD" w:rsidRPr="00DD3C91" w:rsidRDefault="00611538" w:rsidP="00DD3C91">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 xml:space="preserve">At paragraph 17, in dealing with the relevance of the judgment in </w:t>
      </w:r>
      <w:r w:rsidRPr="00CF2916">
        <w:rPr>
          <w:rFonts w:ascii="Arial" w:hAnsi="Arial" w:cs="Arial"/>
          <w:b/>
          <w:lang w:val="en-GB"/>
        </w:rPr>
        <w:t>CB Bahamas</w:t>
      </w:r>
      <w:r w:rsidRPr="00CF2916">
        <w:rPr>
          <w:rFonts w:ascii="Arial" w:hAnsi="Arial" w:cs="Arial"/>
          <w:lang w:val="en-GB"/>
        </w:rPr>
        <w:t>, the Board stated:</w:t>
      </w:r>
    </w:p>
    <w:p w:rsidR="007126B8" w:rsidRDefault="007126B8" w:rsidP="00611538">
      <w:pPr>
        <w:pStyle w:val="ListParagraph"/>
        <w:widowControl w:val="0"/>
        <w:autoSpaceDE w:val="0"/>
        <w:autoSpaceDN w:val="0"/>
        <w:ind w:left="1440"/>
        <w:jc w:val="both"/>
        <w:rPr>
          <w:rFonts w:ascii="Arial" w:hAnsi="Arial" w:cs="Arial"/>
          <w:b/>
          <w:sz w:val="22"/>
          <w:szCs w:val="22"/>
          <w:lang w:val="en-GB"/>
        </w:rPr>
      </w:pPr>
    </w:p>
    <w:p w:rsidR="00611538" w:rsidRPr="00CF2916" w:rsidRDefault="00611538" w:rsidP="00611538">
      <w:pPr>
        <w:pStyle w:val="ListParagraph"/>
        <w:widowControl w:val="0"/>
        <w:autoSpaceDE w:val="0"/>
        <w:autoSpaceDN w:val="0"/>
        <w:ind w:left="1440"/>
        <w:jc w:val="both"/>
        <w:rPr>
          <w:rFonts w:ascii="Arial" w:hAnsi="Arial" w:cs="Arial"/>
          <w:b/>
          <w:sz w:val="22"/>
          <w:szCs w:val="22"/>
          <w:lang w:val="en-GB"/>
        </w:rPr>
      </w:pPr>
      <w:r w:rsidRPr="006A7EC4">
        <w:rPr>
          <w:rFonts w:ascii="Arial" w:hAnsi="Arial" w:cs="Arial"/>
          <w:b/>
          <w:sz w:val="22"/>
          <w:szCs w:val="22"/>
          <w:lang w:val="en-GB"/>
        </w:rPr>
        <w:t xml:space="preserve">“In any event, </w:t>
      </w:r>
      <w:r w:rsidRPr="006A7EC4">
        <w:rPr>
          <w:rFonts w:ascii="Arial" w:hAnsi="Arial" w:cs="Arial"/>
          <w:b/>
          <w:sz w:val="22"/>
          <w:szCs w:val="22"/>
          <w:u w:val="single"/>
          <w:lang w:val="en-GB"/>
        </w:rPr>
        <w:t xml:space="preserve">Arawak won the battle of documentary titles because </w:t>
      </w:r>
      <w:proofErr w:type="spellStart"/>
      <w:r w:rsidRPr="006A7EC4">
        <w:rPr>
          <w:rFonts w:ascii="Arial" w:hAnsi="Arial" w:cs="Arial"/>
          <w:b/>
          <w:sz w:val="22"/>
          <w:szCs w:val="22"/>
          <w:u w:val="single"/>
          <w:lang w:val="en-GB"/>
        </w:rPr>
        <w:t>Mr.</w:t>
      </w:r>
      <w:proofErr w:type="spellEnd"/>
      <w:r w:rsidRPr="006A7EC4">
        <w:rPr>
          <w:rFonts w:ascii="Arial" w:hAnsi="Arial" w:cs="Arial"/>
          <w:b/>
          <w:sz w:val="22"/>
          <w:szCs w:val="22"/>
          <w:u w:val="single"/>
          <w:lang w:val="en-GB"/>
        </w:rPr>
        <w:t xml:space="preserve"> Johnson was not able to give anybody a good title. </w:t>
      </w:r>
      <w:r w:rsidRPr="006A7EC4">
        <w:rPr>
          <w:rFonts w:ascii="Arial" w:hAnsi="Arial" w:cs="Arial"/>
          <w:b/>
          <w:sz w:val="22"/>
          <w:szCs w:val="22"/>
          <w:lang w:val="en-GB"/>
        </w:rPr>
        <w:t xml:space="preserve">The courts were able to conclude either by concession in one action or because in the other actions, the courts, without objection, looked at the decision of </w:t>
      </w:r>
      <w:proofErr w:type="spellStart"/>
      <w:r w:rsidRPr="006A7EC4">
        <w:rPr>
          <w:rFonts w:ascii="Arial" w:hAnsi="Arial" w:cs="Arial"/>
          <w:b/>
          <w:sz w:val="22"/>
          <w:szCs w:val="22"/>
          <w:lang w:val="en-GB"/>
        </w:rPr>
        <w:t>Gonsalves-Sabola</w:t>
      </w:r>
      <w:proofErr w:type="spellEnd"/>
      <w:r w:rsidRPr="006A7EC4">
        <w:rPr>
          <w:rFonts w:ascii="Arial" w:hAnsi="Arial" w:cs="Arial"/>
          <w:b/>
          <w:sz w:val="22"/>
          <w:szCs w:val="22"/>
          <w:lang w:val="en-GB"/>
        </w:rPr>
        <w:t xml:space="preserve"> J in action no. 355 of 1985 as part of the agreed evidence.”      </w:t>
      </w:r>
    </w:p>
    <w:p w:rsidR="00611538" w:rsidRPr="00696FFD" w:rsidRDefault="00611538" w:rsidP="00696FFD">
      <w:pPr>
        <w:spacing w:line="276" w:lineRule="auto"/>
        <w:rPr>
          <w:rFonts w:ascii="Arial" w:hAnsi="Arial" w:cs="Arial"/>
          <w:lang w:val="en-GB"/>
        </w:rPr>
      </w:pPr>
    </w:p>
    <w:p w:rsidR="00696FFD" w:rsidRPr="00DD3C91" w:rsidRDefault="00611538" w:rsidP="00DD3C91">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At paragraph 19, the Board continued:</w:t>
      </w:r>
    </w:p>
    <w:p w:rsidR="007126B8" w:rsidRDefault="007126B8" w:rsidP="00611538">
      <w:pPr>
        <w:pStyle w:val="ListParagraph"/>
        <w:widowControl w:val="0"/>
        <w:autoSpaceDE w:val="0"/>
        <w:autoSpaceDN w:val="0"/>
        <w:ind w:left="1440"/>
        <w:jc w:val="both"/>
        <w:rPr>
          <w:rFonts w:ascii="Arial" w:hAnsi="Arial" w:cs="Arial"/>
          <w:b/>
          <w:sz w:val="22"/>
          <w:szCs w:val="22"/>
          <w:lang w:val="en-GB"/>
        </w:rPr>
      </w:pPr>
    </w:p>
    <w:p w:rsidR="00611538" w:rsidRPr="006A7EC4" w:rsidRDefault="00611538" w:rsidP="00611538">
      <w:pPr>
        <w:pStyle w:val="ListParagraph"/>
        <w:widowControl w:val="0"/>
        <w:autoSpaceDE w:val="0"/>
        <w:autoSpaceDN w:val="0"/>
        <w:ind w:left="1440"/>
        <w:jc w:val="both"/>
        <w:rPr>
          <w:rFonts w:ascii="Arial" w:hAnsi="Arial" w:cs="Arial"/>
          <w:b/>
          <w:sz w:val="22"/>
          <w:szCs w:val="22"/>
          <w:lang w:val="en-GB"/>
        </w:rPr>
      </w:pPr>
      <w:r w:rsidRPr="006A7EC4">
        <w:rPr>
          <w:rFonts w:ascii="Arial" w:hAnsi="Arial" w:cs="Arial"/>
          <w:b/>
          <w:sz w:val="22"/>
          <w:szCs w:val="22"/>
          <w:lang w:val="en-GB"/>
        </w:rPr>
        <w:t xml:space="preserve">“It is clear from </w:t>
      </w:r>
      <w:proofErr w:type="spellStart"/>
      <w:r w:rsidRPr="006A7EC4">
        <w:rPr>
          <w:rFonts w:ascii="Arial" w:hAnsi="Arial" w:cs="Arial"/>
          <w:b/>
          <w:sz w:val="22"/>
          <w:szCs w:val="22"/>
          <w:lang w:val="en-GB"/>
        </w:rPr>
        <w:t>Gonsalves-Sabola</w:t>
      </w:r>
      <w:proofErr w:type="spellEnd"/>
      <w:r w:rsidRPr="006A7EC4">
        <w:rPr>
          <w:rFonts w:ascii="Arial" w:hAnsi="Arial" w:cs="Arial"/>
          <w:b/>
          <w:sz w:val="22"/>
          <w:szCs w:val="22"/>
          <w:lang w:val="en-GB"/>
        </w:rPr>
        <w:t xml:space="preserve"> J’s judgment that he was dealing with an action </w:t>
      </w:r>
      <w:r w:rsidRPr="006A7EC4">
        <w:rPr>
          <w:rFonts w:ascii="Arial" w:hAnsi="Arial" w:cs="Arial"/>
          <w:b/>
          <w:i/>
          <w:sz w:val="22"/>
          <w:szCs w:val="22"/>
          <w:lang w:val="en-GB"/>
        </w:rPr>
        <w:t xml:space="preserve">in </w:t>
      </w:r>
      <w:proofErr w:type="spellStart"/>
      <w:r w:rsidRPr="006A7EC4">
        <w:rPr>
          <w:rFonts w:ascii="Arial" w:hAnsi="Arial" w:cs="Arial"/>
          <w:b/>
          <w:i/>
          <w:sz w:val="22"/>
          <w:szCs w:val="22"/>
          <w:lang w:val="en-GB"/>
        </w:rPr>
        <w:t>personam</w:t>
      </w:r>
      <w:proofErr w:type="spellEnd"/>
      <w:r w:rsidRPr="006A7EC4">
        <w:rPr>
          <w:rFonts w:ascii="Arial" w:hAnsi="Arial" w:cs="Arial"/>
          <w:b/>
          <w:sz w:val="22"/>
          <w:szCs w:val="22"/>
          <w:lang w:val="en-GB"/>
        </w:rPr>
        <w:t xml:space="preserve"> and that his decision did not bind </w:t>
      </w:r>
      <w:proofErr w:type="spellStart"/>
      <w:r w:rsidRPr="006A7EC4">
        <w:rPr>
          <w:rFonts w:ascii="Arial" w:hAnsi="Arial" w:cs="Arial"/>
          <w:b/>
          <w:sz w:val="22"/>
          <w:szCs w:val="22"/>
          <w:lang w:val="en-GB"/>
        </w:rPr>
        <w:t>Mr.</w:t>
      </w:r>
      <w:proofErr w:type="spellEnd"/>
      <w:r w:rsidRPr="006A7EC4">
        <w:rPr>
          <w:rFonts w:ascii="Arial" w:hAnsi="Arial" w:cs="Arial"/>
          <w:b/>
          <w:sz w:val="22"/>
          <w:szCs w:val="22"/>
          <w:lang w:val="en-GB"/>
        </w:rPr>
        <w:t xml:space="preserve"> Johnson, who was not a party to the action. But his decision was presented to the Chief Justice as part of the agreed evidence in the agreed bundle of documents in action no. 727 of 2008….</w:t>
      </w:r>
      <w:r w:rsidRPr="00696FFD">
        <w:rPr>
          <w:rFonts w:ascii="Arial" w:hAnsi="Arial" w:cs="Arial"/>
          <w:b/>
          <w:sz w:val="22"/>
          <w:szCs w:val="22"/>
          <w:u w:val="single"/>
          <w:lang w:val="en-GB"/>
        </w:rPr>
        <w:t>It provided the basis for the findings (</w:t>
      </w:r>
      <w:proofErr w:type="spellStart"/>
      <w:r w:rsidRPr="00696FFD">
        <w:rPr>
          <w:rFonts w:ascii="Arial" w:hAnsi="Arial" w:cs="Arial"/>
          <w:b/>
          <w:sz w:val="22"/>
          <w:szCs w:val="22"/>
          <w:u w:val="single"/>
          <w:lang w:val="en-GB"/>
        </w:rPr>
        <w:t>i</w:t>
      </w:r>
      <w:proofErr w:type="spellEnd"/>
      <w:r w:rsidRPr="00696FFD">
        <w:rPr>
          <w:rFonts w:ascii="Arial" w:hAnsi="Arial" w:cs="Arial"/>
          <w:b/>
          <w:sz w:val="22"/>
          <w:szCs w:val="22"/>
          <w:u w:val="single"/>
          <w:lang w:val="en-GB"/>
        </w:rPr>
        <w:t xml:space="preserve">) that </w:t>
      </w:r>
      <w:proofErr w:type="spellStart"/>
      <w:r w:rsidRPr="00696FFD">
        <w:rPr>
          <w:rFonts w:ascii="Arial" w:hAnsi="Arial" w:cs="Arial"/>
          <w:b/>
          <w:sz w:val="22"/>
          <w:szCs w:val="22"/>
          <w:u w:val="single"/>
          <w:lang w:val="en-GB"/>
        </w:rPr>
        <w:t>Mr.</w:t>
      </w:r>
      <w:proofErr w:type="spellEnd"/>
      <w:r w:rsidRPr="00696FFD">
        <w:rPr>
          <w:rFonts w:ascii="Arial" w:hAnsi="Arial" w:cs="Arial"/>
          <w:b/>
          <w:sz w:val="22"/>
          <w:szCs w:val="22"/>
          <w:u w:val="single"/>
          <w:lang w:val="en-GB"/>
        </w:rPr>
        <w:t xml:space="preserve"> Johnson had acted fraudulently and (ii) that the judgment in action no. 355 of 1985 prevented subsequent purchasers from </w:t>
      </w:r>
      <w:proofErr w:type="spellStart"/>
      <w:r w:rsidRPr="00696FFD">
        <w:rPr>
          <w:rFonts w:ascii="Arial" w:hAnsi="Arial" w:cs="Arial"/>
          <w:b/>
          <w:sz w:val="22"/>
          <w:szCs w:val="22"/>
          <w:u w:val="single"/>
          <w:lang w:val="en-GB"/>
        </w:rPr>
        <w:t>Mr.</w:t>
      </w:r>
      <w:proofErr w:type="spellEnd"/>
      <w:r w:rsidRPr="00696FFD">
        <w:rPr>
          <w:rFonts w:ascii="Arial" w:hAnsi="Arial" w:cs="Arial"/>
          <w:b/>
          <w:sz w:val="22"/>
          <w:szCs w:val="22"/>
          <w:u w:val="single"/>
          <w:lang w:val="en-GB"/>
        </w:rPr>
        <w:t xml:space="preserve"> Johnson from being able to claim protection as </w:t>
      </w:r>
      <w:r w:rsidRPr="00696FFD">
        <w:rPr>
          <w:rFonts w:ascii="Arial" w:hAnsi="Arial" w:cs="Arial"/>
          <w:b/>
          <w:i/>
          <w:sz w:val="22"/>
          <w:szCs w:val="22"/>
          <w:u w:val="single"/>
          <w:lang w:val="en-GB"/>
        </w:rPr>
        <w:t xml:space="preserve">bona fide </w:t>
      </w:r>
      <w:r w:rsidRPr="00696FFD">
        <w:rPr>
          <w:rFonts w:ascii="Arial" w:hAnsi="Arial" w:cs="Arial"/>
          <w:b/>
          <w:sz w:val="22"/>
          <w:szCs w:val="22"/>
          <w:u w:val="single"/>
          <w:lang w:val="en-GB"/>
        </w:rPr>
        <w:t>purchasers for value</w:t>
      </w:r>
      <w:r>
        <w:rPr>
          <w:rFonts w:ascii="Arial" w:hAnsi="Arial" w:cs="Arial"/>
          <w:b/>
          <w:sz w:val="22"/>
          <w:szCs w:val="22"/>
          <w:lang w:val="en-GB"/>
        </w:rPr>
        <w:t>.”</w:t>
      </w:r>
      <w:r w:rsidRPr="006A7EC4">
        <w:rPr>
          <w:rFonts w:ascii="Arial" w:hAnsi="Arial" w:cs="Arial"/>
          <w:lang w:val="en-GB"/>
        </w:rPr>
        <w:t xml:space="preserve">  </w:t>
      </w:r>
    </w:p>
    <w:p w:rsidR="00611538" w:rsidRPr="00CF2916" w:rsidRDefault="00611538" w:rsidP="00611538">
      <w:pPr>
        <w:widowControl w:val="0"/>
        <w:autoSpaceDE w:val="0"/>
        <w:autoSpaceDN w:val="0"/>
        <w:spacing w:line="360" w:lineRule="auto"/>
        <w:ind w:left="1440"/>
        <w:jc w:val="both"/>
        <w:rPr>
          <w:rFonts w:ascii="Arial" w:hAnsi="Arial" w:cs="Arial"/>
          <w:lang w:val="en-GB"/>
        </w:rPr>
      </w:pPr>
    </w:p>
    <w:p w:rsidR="00696FFD" w:rsidRPr="00DD3C91" w:rsidRDefault="00611538" w:rsidP="00DD3C91">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At paragraph 21, the Board made an important point which is at the heart of this case. The Board stated:</w:t>
      </w:r>
    </w:p>
    <w:p w:rsidR="007126B8" w:rsidRDefault="007126B8" w:rsidP="00A0305D">
      <w:pPr>
        <w:pStyle w:val="ListParagraph"/>
        <w:widowControl w:val="0"/>
        <w:autoSpaceDE w:val="0"/>
        <w:autoSpaceDN w:val="0"/>
        <w:ind w:left="1440"/>
        <w:jc w:val="both"/>
        <w:rPr>
          <w:rFonts w:ascii="Arial" w:hAnsi="Arial" w:cs="Arial"/>
          <w:b/>
          <w:sz w:val="22"/>
          <w:szCs w:val="22"/>
          <w:lang w:val="en-GB"/>
        </w:rPr>
      </w:pPr>
    </w:p>
    <w:p w:rsidR="00611538" w:rsidRDefault="00611538" w:rsidP="00A0305D">
      <w:pPr>
        <w:pStyle w:val="ListParagraph"/>
        <w:widowControl w:val="0"/>
        <w:autoSpaceDE w:val="0"/>
        <w:autoSpaceDN w:val="0"/>
        <w:ind w:left="1440"/>
        <w:jc w:val="both"/>
        <w:rPr>
          <w:rFonts w:ascii="Arial" w:hAnsi="Arial" w:cs="Arial"/>
          <w:b/>
          <w:sz w:val="22"/>
          <w:szCs w:val="22"/>
          <w:lang w:val="en-GB"/>
        </w:rPr>
      </w:pPr>
      <w:r w:rsidRPr="00D72092">
        <w:rPr>
          <w:rFonts w:ascii="Arial" w:hAnsi="Arial" w:cs="Arial"/>
          <w:b/>
          <w:sz w:val="22"/>
          <w:szCs w:val="22"/>
          <w:lang w:val="en-GB"/>
        </w:rPr>
        <w:t xml:space="preserve">“Although the certificate of title which </w:t>
      </w:r>
      <w:proofErr w:type="spellStart"/>
      <w:r w:rsidRPr="00D72092">
        <w:rPr>
          <w:rFonts w:ascii="Arial" w:hAnsi="Arial" w:cs="Arial"/>
          <w:b/>
          <w:sz w:val="22"/>
          <w:szCs w:val="22"/>
          <w:lang w:val="en-GB"/>
        </w:rPr>
        <w:t>Mr.</w:t>
      </w:r>
      <w:proofErr w:type="spellEnd"/>
      <w:r w:rsidRPr="00D72092">
        <w:rPr>
          <w:rFonts w:ascii="Arial" w:hAnsi="Arial" w:cs="Arial"/>
          <w:b/>
          <w:sz w:val="22"/>
          <w:szCs w:val="22"/>
          <w:lang w:val="en-GB"/>
        </w:rPr>
        <w:t xml:space="preserve"> Johnson obtained in 1985 had not been declared a nullity in an action to which any predecessor in title of </w:t>
      </w:r>
      <w:proofErr w:type="spellStart"/>
      <w:r w:rsidRPr="00D72092">
        <w:rPr>
          <w:rFonts w:ascii="Arial" w:hAnsi="Arial" w:cs="Arial"/>
          <w:b/>
          <w:sz w:val="22"/>
          <w:szCs w:val="22"/>
          <w:lang w:val="en-GB"/>
        </w:rPr>
        <w:t>Mr.</w:t>
      </w:r>
      <w:proofErr w:type="spellEnd"/>
      <w:r w:rsidRPr="00D72092">
        <w:rPr>
          <w:rFonts w:ascii="Arial" w:hAnsi="Arial" w:cs="Arial"/>
          <w:b/>
          <w:sz w:val="22"/>
          <w:szCs w:val="22"/>
          <w:lang w:val="en-GB"/>
        </w:rPr>
        <w:t xml:space="preserve"> and </w:t>
      </w:r>
      <w:proofErr w:type="spellStart"/>
      <w:r w:rsidRPr="00D72092">
        <w:rPr>
          <w:rFonts w:ascii="Arial" w:hAnsi="Arial" w:cs="Arial"/>
          <w:b/>
          <w:sz w:val="22"/>
          <w:szCs w:val="22"/>
          <w:lang w:val="en-GB"/>
        </w:rPr>
        <w:t>Mrs.</w:t>
      </w:r>
      <w:proofErr w:type="spellEnd"/>
      <w:r w:rsidRPr="00D72092">
        <w:rPr>
          <w:rFonts w:ascii="Arial" w:hAnsi="Arial" w:cs="Arial"/>
          <w:b/>
          <w:sz w:val="22"/>
          <w:szCs w:val="22"/>
          <w:lang w:val="en-GB"/>
        </w:rPr>
        <w:t xml:space="preserve"> Dean was a party until the judgment in action no. 510 of 1985 </w:t>
      </w:r>
      <w:r w:rsidRPr="00D72092">
        <w:rPr>
          <w:rFonts w:ascii="Arial" w:hAnsi="Arial" w:cs="Arial"/>
          <w:b/>
          <w:sz w:val="22"/>
          <w:szCs w:val="22"/>
          <w:lang w:val="en-GB"/>
        </w:rPr>
        <w:lastRenderedPageBreak/>
        <w:t>in 2011 (</w:t>
      </w:r>
      <w:proofErr w:type="spellStart"/>
      <w:r w:rsidRPr="00D72092">
        <w:rPr>
          <w:rFonts w:ascii="Arial" w:hAnsi="Arial" w:cs="Arial"/>
          <w:b/>
          <w:sz w:val="22"/>
          <w:szCs w:val="22"/>
          <w:lang w:val="en-GB"/>
        </w:rPr>
        <w:t>para</w:t>
      </w:r>
      <w:proofErr w:type="spellEnd"/>
      <w:r w:rsidRPr="00D72092">
        <w:rPr>
          <w:rFonts w:ascii="Arial" w:hAnsi="Arial" w:cs="Arial"/>
          <w:b/>
          <w:sz w:val="22"/>
          <w:szCs w:val="22"/>
          <w:lang w:val="en-GB"/>
        </w:rPr>
        <w:t xml:space="preserve"> 8 above), the evidence of </w:t>
      </w:r>
      <w:proofErr w:type="spellStart"/>
      <w:r w:rsidRPr="00D72092">
        <w:rPr>
          <w:rFonts w:ascii="Arial" w:hAnsi="Arial" w:cs="Arial"/>
          <w:b/>
          <w:sz w:val="22"/>
          <w:szCs w:val="22"/>
          <w:lang w:val="en-GB"/>
        </w:rPr>
        <w:t>Mr.</w:t>
      </w:r>
      <w:proofErr w:type="spellEnd"/>
      <w:r w:rsidRPr="00D72092">
        <w:rPr>
          <w:rFonts w:ascii="Arial" w:hAnsi="Arial" w:cs="Arial"/>
          <w:b/>
          <w:sz w:val="22"/>
          <w:szCs w:val="22"/>
          <w:lang w:val="en-GB"/>
        </w:rPr>
        <w:t xml:space="preserve"> Johnson’s fraud, which was led in action no. 355 of 1985, was properly before the courts below in the actions which are the subject of this appeal. That entitled the Court of Appeal to observe that the Certificate of Title had been obtained through fraud. As a result, </w:t>
      </w:r>
      <w:proofErr w:type="spellStart"/>
      <w:r w:rsidRPr="00D72092">
        <w:rPr>
          <w:rFonts w:ascii="Arial" w:hAnsi="Arial" w:cs="Arial"/>
          <w:b/>
          <w:sz w:val="22"/>
          <w:szCs w:val="22"/>
          <w:lang w:val="en-GB"/>
        </w:rPr>
        <w:t>Mr.</w:t>
      </w:r>
      <w:proofErr w:type="spellEnd"/>
      <w:r w:rsidRPr="00D72092">
        <w:rPr>
          <w:rFonts w:ascii="Arial" w:hAnsi="Arial" w:cs="Arial"/>
          <w:b/>
          <w:sz w:val="22"/>
          <w:szCs w:val="22"/>
          <w:lang w:val="en-GB"/>
        </w:rPr>
        <w:t xml:space="preserve"> and </w:t>
      </w:r>
      <w:proofErr w:type="spellStart"/>
      <w:r w:rsidRPr="00D72092">
        <w:rPr>
          <w:rFonts w:ascii="Arial" w:hAnsi="Arial" w:cs="Arial"/>
          <w:b/>
          <w:sz w:val="22"/>
          <w:szCs w:val="22"/>
          <w:lang w:val="en-GB"/>
        </w:rPr>
        <w:t>Mrs.</w:t>
      </w:r>
      <w:proofErr w:type="spellEnd"/>
      <w:r w:rsidRPr="00D72092">
        <w:rPr>
          <w:rFonts w:ascii="Arial" w:hAnsi="Arial" w:cs="Arial"/>
          <w:b/>
          <w:sz w:val="22"/>
          <w:szCs w:val="22"/>
          <w:lang w:val="en-GB"/>
        </w:rPr>
        <w:t xml:space="preserve"> Dean had to show that they were </w:t>
      </w:r>
      <w:r w:rsidRPr="00D72092">
        <w:rPr>
          <w:rFonts w:ascii="Arial" w:hAnsi="Arial" w:cs="Arial"/>
          <w:b/>
          <w:i/>
          <w:sz w:val="22"/>
          <w:szCs w:val="22"/>
          <w:lang w:val="en-GB"/>
        </w:rPr>
        <w:t>bona fide</w:t>
      </w:r>
      <w:r w:rsidRPr="00D72092">
        <w:rPr>
          <w:rFonts w:ascii="Arial" w:hAnsi="Arial" w:cs="Arial"/>
          <w:b/>
          <w:sz w:val="22"/>
          <w:szCs w:val="22"/>
          <w:lang w:val="en-GB"/>
        </w:rPr>
        <w:t xml:space="preserve"> purchasers without notice. This they failed to do.</w:t>
      </w:r>
      <w:r w:rsidR="00A0305D">
        <w:rPr>
          <w:rFonts w:ascii="Arial" w:hAnsi="Arial" w:cs="Arial"/>
          <w:b/>
          <w:sz w:val="22"/>
          <w:szCs w:val="22"/>
          <w:lang w:val="en-GB"/>
        </w:rPr>
        <w:t>”</w:t>
      </w:r>
    </w:p>
    <w:p w:rsidR="00DD3C91" w:rsidRPr="00A0305D" w:rsidRDefault="00DD3C91" w:rsidP="007126B8">
      <w:pPr>
        <w:pStyle w:val="ListParagraph"/>
        <w:widowControl w:val="0"/>
        <w:autoSpaceDE w:val="0"/>
        <w:autoSpaceDN w:val="0"/>
        <w:spacing w:line="360" w:lineRule="auto"/>
        <w:ind w:left="1440"/>
        <w:jc w:val="both"/>
        <w:rPr>
          <w:rFonts w:ascii="Arial" w:hAnsi="Arial" w:cs="Arial"/>
          <w:b/>
          <w:sz w:val="22"/>
          <w:szCs w:val="22"/>
          <w:lang w:val="en-GB"/>
        </w:rPr>
      </w:pPr>
    </w:p>
    <w:p w:rsidR="00611538" w:rsidRDefault="00611538" w:rsidP="00611538">
      <w:pPr>
        <w:pStyle w:val="ListParagraph"/>
        <w:widowControl w:val="0"/>
        <w:numPr>
          <w:ilvl w:val="0"/>
          <w:numId w:val="2"/>
        </w:numPr>
        <w:autoSpaceDE w:val="0"/>
        <w:autoSpaceDN w:val="0"/>
        <w:spacing w:line="360" w:lineRule="auto"/>
        <w:jc w:val="both"/>
        <w:rPr>
          <w:rFonts w:ascii="Arial" w:hAnsi="Arial" w:cs="Arial"/>
          <w:lang w:val="en-GB"/>
        </w:rPr>
      </w:pPr>
      <w:r w:rsidRPr="00CF2916">
        <w:rPr>
          <w:rFonts w:ascii="Arial" w:hAnsi="Arial" w:cs="Arial"/>
          <w:lang w:val="en-GB"/>
        </w:rPr>
        <w:t xml:space="preserve">These judicious words </w:t>
      </w:r>
      <w:r w:rsidR="00394EC9">
        <w:rPr>
          <w:rFonts w:ascii="Arial" w:hAnsi="Arial" w:cs="Arial"/>
          <w:lang w:val="en-GB"/>
        </w:rPr>
        <w:t>need reverberating</w:t>
      </w:r>
      <w:r w:rsidR="002649EE">
        <w:rPr>
          <w:rFonts w:ascii="Arial" w:hAnsi="Arial" w:cs="Arial"/>
          <w:lang w:val="en-GB"/>
        </w:rPr>
        <w:t>.</w:t>
      </w:r>
      <w:r w:rsidRPr="00CF2916">
        <w:rPr>
          <w:rFonts w:ascii="Arial" w:hAnsi="Arial" w:cs="Arial"/>
          <w:lang w:val="en-GB"/>
        </w:rPr>
        <w:t xml:space="preserve"> The 2</w:t>
      </w:r>
      <w:r w:rsidRPr="00CF2916">
        <w:rPr>
          <w:rFonts w:ascii="Arial" w:hAnsi="Arial" w:cs="Arial"/>
          <w:vertAlign w:val="superscript"/>
          <w:lang w:val="en-GB"/>
        </w:rPr>
        <w:t>nd</w:t>
      </w:r>
      <w:r w:rsidRPr="00CF2916">
        <w:rPr>
          <w:rFonts w:ascii="Arial" w:hAnsi="Arial" w:cs="Arial"/>
          <w:lang w:val="en-GB"/>
        </w:rPr>
        <w:t xml:space="preserve"> Defendant has failed to adduce any evidence to demonstrate that </w:t>
      </w:r>
      <w:proofErr w:type="spellStart"/>
      <w:r w:rsidRPr="00CF2916">
        <w:rPr>
          <w:rFonts w:ascii="Arial" w:hAnsi="Arial" w:cs="Arial"/>
          <w:lang w:val="en-GB"/>
        </w:rPr>
        <w:t>Eleaz</w:t>
      </w:r>
      <w:r w:rsidR="00696FFD">
        <w:rPr>
          <w:rFonts w:ascii="Arial" w:hAnsi="Arial" w:cs="Arial"/>
          <w:lang w:val="en-GB"/>
        </w:rPr>
        <w:t>o</w:t>
      </w:r>
      <w:r w:rsidRPr="00CF2916">
        <w:rPr>
          <w:rFonts w:ascii="Arial" w:hAnsi="Arial" w:cs="Arial"/>
          <w:lang w:val="en-GB"/>
        </w:rPr>
        <w:t>r</w:t>
      </w:r>
      <w:proofErr w:type="spellEnd"/>
      <w:r w:rsidRPr="00CF2916">
        <w:rPr>
          <w:rFonts w:ascii="Arial" w:hAnsi="Arial" w:cs="Arial"/>
          <w:lang w:val="en-GB"/>
        </w:rPr>
        <w:t xml:space="preserve"> Ferguson was a </w:t>
      </w:r>
      <w:r w:rsidRPr="00CF2916">
        <w:rPr>
          <w:rFonts w:ascii="Arial" w:hAnsi="Arial" w:cs="Arial"/>
          <w:i/>
          <w:lang w:val="en-GB"/>
        </w:rPr>
        <w:t xml:space="preserve">bona fide </w:t>
      </w:r>
      <w:r w:rsidRPr="00CF2916">
        <w:rPr>
          <w:rFonts w:ascii="Arial" w:hAnsi="Arial" w:cs="Arial"/>
          <w:lang w:val="en-GB"/>
        </w:rPr>
        <w:t xml:space="preserve">purchaser for value without notice. </w:t>
      </w:r>
      <w:r w:rsidR="00671B31">
        <w:rPr>
          <w:rFonts w:ascii="Arial" w:hAnsi="Arial" w:cs="Arial"/>
          <w:lang w:val="en-GB"/>
        </w:rPr>
        <w:t xml:space="preserve">Learned Counsel </w:t>
      </w:r>
      <w:proofErr w:type="spellStart"/>
      <w:r w:rsidR="00671B31">
        <w:rPr>
          <w:rFonts w:ascii="Arial" w:hAnsi="Arial" w:cs="Arial"/>
          <w:lang w:val="en-GB"/>
        </w:rPr>
        <w:t>Mr.</w:t>
      </w:r>
      <w:proofErr w:type="spellEnd"/>
      <w:r w:rsidR="00671B31">
        <w:rPr>
          <w:rFonts w:ascii="Arial" w:hAnsi="Arial" w:cs="Arial"/>
          <w:lang w:val="en-GB"/>
        </w:rPr>
        <w:t xml:space="preserve"> Martin shifts the blame of </w:t>
      </w:r>
      <w:r w:rsidRPr="00CF2916">
        <w:rPr>
          <w:rFonts w:ascii="Arial" w:hAnsi="Arial" w:cs="Arial"/>
          <w:lang w:val="en-GB"/>
        </w:rPr>
        <w:t>inordinate and inexcusable delays in the prosecution of the present action</w:t>
      </w:r>
      <w:r w:rsidR="00671B31">
        <w:rPr>
          <w:rFonts w:ascii="Arial" w:hAnsi="Arial" w:cs="Arial"/>
          <w:lang w:val="en-GB"/>
        </w:rPr>
        <w:t xml:space="preserve"> on Arawak Homes. I agree that a plaintiff has the </w:t>
      </w:r>
      <w:r w:rsidR="00486C05">
        <w:rPr>
          <w:rFonts w:ascii="Arial" w:hAnsi="Arial" w:cs="Arial"/>
          <w:lang w:val="en-GB"/>
        </w:rPr>
        <w:t>more</w:t>
      </w:r>
      <w:r w:rsidR="00671B31">
        <w:rPr>
          <w:rFonts w:ascii="Arial" w:hAnsi="Arial" w:cs="Arial"/>
          <w:lang w:val="en-GB"/>
        </w:rPr>
        <w:t xml:space="preserve"> important role of prosecuting his case but my understanding of Order 31A of the RSC, 2007 is that a defendant has a corresponding duty</w:t>
      </w:r>
      <w:r w:rsidR="00A0305D">
        <w:rPr>
          <w:rFonts w:ascii="Arial" w:hAnsi="Arial" w:cs="Arial"/>
          <w:lang w:val="en-GB"/>
        </w:rPr>
        <w:t>.</w:t>
      </w:r>
      <w:r w:rsidR="00671B31">
        <w:rPr>
          <w:rFonts w:ascii="Arial" w:hAnsi="Arial" w:cs="Arial"/>
          <w:lang w:val="en-GB"/>
        </w:rPr>
        <w:t xml:space="preserve"> </w:t>
      </w:r>
      <w:r w:rsidR="00486C05">
        <w:rPr>
          <w:rFonts w:ascii="Arial" w:hAnsi="Arial" w:cs="Arial"/>
          <w:lang w:val="en-GB"/>
        </w:rPr>
        <w:t>In fact, a</w:t>
      </w:r>
      <w:r w:rsidR="00671B31">
        <w:rPr>
          <w:rFonts w:ascii="Arial" w:hAnsi="Arial" w:cs="Arial"/>
          <w:lang w:val="en-GB"/>
        </w:rPr>
        <w:t xml:space="preserve">ll parties are to assist the court in achieving its </w:t>
      </w:r>
      <w:r w:rsidR="00F51B24">
        <w:rPr>
          <w:rFonts w:ascii="Arial" w:hAnsi="Arial" w:cs="Arial"/>
          <w:lang w:val="en-GB"/>
        </w:rPr>
        <w:t xml:space="preserve">overriding objective </w:t>
      </w:r>
      <w:r w:rsidR="00671B31">
        <w:rPr>
          <w:rFonts w:ascii="Arial" w:hAnsi="Arial" w:cs="Arial"/>
          <w:lang w:val="en-GB"/>
        </w:rPr>
        <w:t xml:space="preserve">of dealing </w:t>
      </w:r>
      <w:r w:rsidR="00F51B24">
        <w:rPr>
          <w:rFonts w:ascii="Arial" w:hAnsi="Arial" w:cs="Arial"/>
          <w:lang w:val="en-GB"/>
        </w:rPr>
        <w:t xml:space="preserve">with </w:t>
      </w:r>
      <w:r w:rsidR="00671B31">
        <w:rPr>
          <w:rFonts w:ascii="Arial" w:hAnsi="Arial" w:cs="Arial"/>
          <w:lang w:val="en-GB"/>
        </w:rPr>
        <w:t xml:space="preserve">cases </w:t>
      </w:r>
      <w:r w:rsidR="00486C05">
        <w:rPr>
          <w:rFonts w:ascii="Arial" w:hAnsi="Arial" w:cs="Arial"/>
          <w:lang w:val="en-GB"/>
        </w:rPr>
        <w:t xml:space="preserve">promptly, </w:t>
      </w:r>
      <w:r w:rsidR="00671B31">
        <w:rPr>
          <w:rFonts w:ascii="Arial" w:hAnsi="Arial" w:cs="Arial"/>
          <w:lang w:val="en-GB"/>
        </w:rPr>
        <w:t>effectively, efficiently</w:t>
      </w:r>
      <w:r w:rsidR="00486C05">
        <w:rPr>
          <w:rFonts w:ascii="Arial" w:hAnsi="Arial" w:cs="Arial"/>
          <w:lang w:val="en-GB"/>
        </w:rPr>
        <w:t xml:space="preserve"> and </w:t>
      </w:r>
      <w:r w:rsidR="00F51B24">
        <w:rPr>
          <w:rFonts w:ascii="Arial" w:hAnsi="Arial" w:cs="Arial"/>
          <w:lang w:val="en-GB"/>
        </w:rPr>
        <w:t>impartially</w:t>
      </w:r>
      <w:r w:rsidR="00486C05">
        <w:rPr>
          <w:rFonts w:ascii="Arial" w:hAnsi="Arial" w:cs="Arial"/>
          <w:lang w:val="en-GB"/>
        </w:rPr>
        <w:t xml:space="preserve">. </w:t>
      </w:r>
      <w:r w:rsidR="00671B31">
        <w:rPr>
          <w:rFonts w:ascii="Arial" w:hAnsi="Arial" w:cs="Arial"/>
          <w:lang w:val="en-GB"/>
        </w:rPr>
        <w:t xml:space="preserve">At </w:t>
      </w:r>
      <w:r w:rsidR="00D377C4">
        <w:rPr>
          <w:rFonts w:ascii="Arial" w:hAnsi="Arial" w:cs="Arial"/>
          <w:lang w:val="en-GB"/>
        </w:rPr>
        <w:t xml:space="preserve">the </w:t>
      </w:r>
      <w:r w:rsidRPr="00CF2916">
        <w:rPr>
          <w:rFonts w:ascii="Arial" w:hAnsi="Arial" w:cs="Arial"/>
          <w:lang w:val="en-GB"/>
        </w:rPr>
        <w:t xml:space="preserve">very least, </w:t>
      </w:r>
      <w:r w:rsidR="00671B31">
        <w:rPr>
          <w:rFonts w:ascii="Arial" w:hAnsi="Arial" w:cs="Arial"/>
          <w:lang w:val="en-GB"/>
        </w:rPr>
        <w:t>the 2</w:t>
      </w:r>
      <w:r w:rsidR="00671B31" w:rsidRPr="00671B31">
        <w:rPr>
          <w:rFonts w:ascii="Arial" w:hAnsi="Arial" w:cs="Arial"/>
          <w:vertAlign w:val="superscript"/>
          <w:lang w:val="en-GB"/>
        </w:rPr>
        <w:t>nd</w:t>
      </w:r>
      <w:r w:rsidR="00671B31">
        <w:rPr>
          <w:rFonts w:ascii="Arial" w:hAnsi="Arial" w:cs="Arial"/>
          <w:lang w:val="en-GB"/>
        </w:rPr>
        <w:t xml:space="preserve"> Defendant</w:t>
      </w:r>
      <w:r w:rsidR="00D377C4">
        <w:rPr>
          <w:rFonts w:ascii="Arial" w:hAnsi="Arial" w:cs="Arial"/>
          <w:lang w:val="en-GB"/>
        </w:rPr>
        <w:t xml:space="preserve"> could have </w:t>
      </w:r>
      <w:r w:rsidRPr="00CF2916">
        <w:rPr>
          <w:rFonts w:ascii="Arial" w:hAnsi="Arial" w:cs="Arial"/>
          <w:lang w:val="en-GB"/>
        </w:rPr>
        <w:t xml:space="preserve">put in some evidence, </w:t>
      </w:r>
      <w:r w:rsidR="00671B31">
        <w:rPr>
          <w:rFonts w:ascii="Arial" w:hAnsi="Arial" w:cs="Arial"/>
          <w:lang w:val="en-GB"/>
        </w:rPr>
        <w:t xml:space="preserve">whether affidavit or </w:t>
      </w:r>
      <w:r w:rsidRPr="00CF2916">
        <w:rPr>
          <w:rFonts w:ascii="Arial" w:hAnsi="Arial" w:cs="Arial"/>
          <w:lang w:val="en-GB"/>
        </w:rPr>
        <w:t xml:space="preserve">documentary </w:t>
      </w:r>
      <w:r w:rsidR="00394EC9">
        <w:rPr>
          <w:rFonts w:ascii="Arial" w:hAnsi="Arial" w:cs="Arial"/>
          <w:lang w:val="en-GB"/>
        </w:rPr>
        <w:t xml:space="preserve">to show that </w:t>
      </w:r>
      <w:proofErr w:type="spellStart"/>
      <w:r w:rsidR="00394EC9">
        <w:rPr>
          <w:rFonts w:ascii="Arial" w:hAnsi="Arial" w:cs="Arial"/>
          <w:lang w:val="en-GB"/>
        </w:rPr>
        <w:t>Eleazo</w:t>
      </w:r>
      <w:r w:rsidRPr="00CF2916">
        <w:rPr>
          <w:rFonts w:ascii="Arial" w:hAnsi="Arial" w:cs="Arial"/>
          <w:lang w:val="en-GB"/>
        </w:rPr>
        <w:t>r</w:t>
      </w:r>
      <w:proofErr w:type="spellEnd"/>
      <w:r w:rsidRPr="00CF2916">
        <w:rPr>
          <w:rFonts w:ascii="Arial" w:hAnsi="Arial" w:cs="Arial"/>
          <w:lang w:val="en-GB"/>
        </w:rPr>
        <w:t xml:space="preserve"> Ferguson was a </w:t>
      </w:r>
      <w:r w:rsidRPr="00CF2916">
        <w:rPr>
          <w:rFonts w:ascii="Arial" w:hAnsi="Arial" w:cs="Arial"/>
          <w:i/>
          <w:lang w:val="en-GB"/>
        </w:rPr>
        <w:t>bona fide</w:t>
      </w:r>
      <w:r w:rsidRPr="00CF2916">
        <w:rPr>
          <w:rFonts w:ascii="Arial" w:hAnsi="Arial" w:cs="Arial"/>
          <w:lang w:val="en-GB"/>
        </w:rPr>
        <w:t xml:space="preserve"> purchaser for value</w:t>
      </w:r>
      <w:r w:rsidR="00394EC9">
        <w:rPr>
          <w:rFonts w:ascii="Arial" w:hAnsi="Arial" w:cs="Arial"/>
          <w:lang w:val="en-GB"/>
        </w:rPr>
        <w:t xml:space="preserve"> without notice</w:t>
      </w:r>
      <w:r w:rsidRPr="00CF2916">
        <w:rPr>
          <w:rFonts w:ascii="Arial" w:hAnsi="Arial" w:cs="Arial"/>
          <w:lang w:val="en-GB"/>
        </w:rPr>
        <w:t>.</w:t>
      </w:r>
      <w:r w:rsidR="00394EC9">
        <w:rPr>
          <w:rFonts w:ascii="Arial" w:hAnsi="Arial" w:cs="Arial"/>
          <w:lang w:val="en-GB"/>
        </w:rPr>
        <w:t xml:space="preserve"> This she has failed to do.</w:t>
      </w:r>
    </w:p>
    <w:p w:rsidR="00611538" w:rsidRPr="00394EC9" w:rsidRDefault="00611538" w:rsidP="00654015">
      <w:pPr>
        <w:rPr>
          <w:rFonts w:ascii="Arial" w:hAnsi="Arial" w:cs="Arial"/>
          <w:lang w:val="en-GB"/>
        </w:rPr>
      </w:pPr>
    </w:p>
    <w:p w:rsidR="00DD3C91" w:rsidRPr="00DD3C91" w:rsidRDefault="00E92960" w:rsidP="00DD3C91">
      <w:pPr>
        <w:pStyle w:val="ListParagraph"/>
        <w:widowControl w:val="0"/>
        <w:numPr>
          <w:ilvl w:val="0"/>
          <w:numId w:val="2"/>
        </w:numPr>
        <w:autoSpaceDE w:val="0"/>
        <w:autoSpaceDN w:val="0"/>
        <w:spacing w:line="360" w:lineRule="auto"/>
        <w:jc w:val="both"/>
        <w:rPr>
          <w:rFonts w:ascii="Arial" w:hAnsi="Arial" w:cs="Arial"/>
          <w:lang w:val="en-GB"/>
        </w:rPr>
      </w:pPr>
      <w:r w:rsidRPr="00AE6341">
        <w:rPr>
          <w:rFonts w:ascii="Arial" w:hAnsi="Arial" w:cs="Arial"/>
          <w:lang w:val="en-GB"/>
        </w:rPr>
        <w:t xml:space="preserve">I </w:t>
      </w:r>
      <w:r w:rsidR="00394EC9">
        <w:rPr>
          <w:rFonts w:ascii="Arial" w:hAnsi="Arial" w:cs="Arial"/>
          <w:lang w:val="en-GB"/>
        </w:rPr>
        <w:t xml:space="preserve">therefore </w:t>
      </w:r>
      <w:r w:rsidRPr="00AE6341">
        <w:rPr>
          <w:rFonts w:ascii="Arial" w:hAnsi="Arial" w:cs="Arial"/>
          <w:lang w:val="en-GB"/>
        </w:rPr>
        <w:t xml:space="preserve">agree with learned Queen’s Counsel </w:t>
      </w:r>
      <w:proofErr w:type="spellStart"/>
      <w:r w:rsidRPr="00AE6341">
        <w:rPr>
          <w:rFonts w:ascii="Arial" w:hAnsi="Arial" w:cs="Arial"/>
          <w:lang w:val="en-GB"/>
        </w:rPr>
        <w:t>Mr.</w:t>
      </w:r>
      <w:proofErr w:type="spellEnd"/>
      <w:r w:rsidRPr="00AE6341">
        <w:rPr>
          <w:rFonts w:ascii="Arial" w:hAnsi="Arial" w:cs="Arial"/>
          <w:lang w:val="en-GB"/>
        </w:rPr>
        <w:t xml:space="preserve"> Smith</w:t>
      </w:r>
      <w:r w:rsidR="0050780C">
        <w:rPr>
          <w:rFonts w:ascii="Arial" w:hAnsi="Arial" w:cs="Arial"/>
          <w:lang w:val="en-GB"/>
        </w:rPr>
        <w:t xml:space="preserve"> that there are no live </w:t>
      </w:r>
      <w:r w:rsidRPr="00AE6341">
        <w:rPr>
          <w:rFonts w:ascii="Arial" w:hAnsi="Arial" w:cs="Arial"/>
          <w:lang w:val="en-GB"/>
        </w:rPr>
        <w:t>issue</w:t>
      </w:r>
      <w:r w:rsidR="00394EC9">
        <w:rPr>
          <w:rFonts w:ascii="Arial" w:hAnsi="Arial" w:cs="Arial"/>
          <w:lang w:val="en-GB"/>
        </w:rPr>
        <w:t xml:space="preserve">s </w:t>
      </w:r>
      <w:r w:rsidR="0050780C">
        <w:rPr>
          <w:rFonts w:ascii="Arial" w:hAnsi="Arial" w:cs="Arial"/>
          <w:lang w:val="en-GB"/>
        </w:rPr>
        <w:t xml:space="preserve">of fact which should or ought </w:t>
      </w:r>
      <w:r w:rsidR="00394EC9">
        <w:rPr>
          <w:rFonts w:ascii="Arial" w:hAnsi="Arial" w:cs="Arial"/>
          <w:lang w:val="en-GB"/>
        </w:rPr>
        <w:t xml:space="preserve">to </w:t>
      </w:r>
      <w:r w:rsidR="0050780C">
        <w:rPr>
          <w:rFonts w:ascii="Arial" w:hAnsi="Arial" w:cs="Arial"/>
          <w:lang w:val="en-GB"/>
        </w:rPr>
        <w:t xml:space="preserve">be </w:t>
      </w:r>
      <w:r w:rsidR="00394EC9">
        <w:rPr>
          <w:rFonts w:ascii="Arial" w:hAnsi="Arial" w:cs="Arial"/>
          <w:lang w:val="en-GB"/>
        </w:rPr>
        <w:t>determine</w:t>
      </w:r>
      <w:r w:rsidR="0050780C">
        <w:rPr>
          <w:rFonts w:ascii="Arial" w:hAnsi="Arial" w:cs="Arial"/>
          <w:lang w:val="en-GB"/>
        </w:rPr>
        <w:t xml:space="preserve">d rendering a full-blown trial unnecessary. </w:t>
      </w:r>
      <w:r w:rsidRPr="00AE6341">
        <w:rPr>
          <w:rFonts w:ascii="Arial" w:hAnsi="Arial" w:cs="Arial"/>
          <w:lang w:val="en-GB"/>
        </w:rPr>
        <w:t xml:space="preserve">As I </w:t>
      </w:r>
      <w:r w:rsidR="00394EC9">
        <w:rPr>
          <w:rFonts w:ascii="Arial" w:hAnsi="Arial" w:cs="Arial"/>
          <w:lang w:val="en-GB"/>
        </w:rPr>
        <w:t>trawled</w:t>
      </w:r>
      <w:r w:rsidRPr="00AE6341">
        <w:rPr>
          <w:rFonts w:ascii="Arial" w:hAnsi="Arial" w:cs="Arial"/>
          <w:lang w:val="en-GB"/>
        </w:rPr>
        <w:t xml:space="preserve"> through the pleadings</w:t>
      </w:r>
      <w:r w:rsidR="0040590D">
        <w:rPr>
          <w:rFonts w:ascii="Arial" w:hAnsi="Arial" w:cs="Arial"/>
          <w:lang w:val="en-GB"/>
        </w:rPr>
        <w:t xml:space="preserve"> and the judgments</w:t>
      </w:r>
      <w:r w:rsidRPr="00AE6341">
        <w:rPr>
          <w:rFonts w:ascii="Arial" w:hAnsi="Arial" w:cs="Arial"/>
          <w:lang w:val="en-GB"/>
        </w:rPr>
        <w:t>, there was never any issue as to the identity of the land. The drawing which Thaddeus Johnson used as a plan was not a plan to satisfy the provisions of the Quieting Title Regulations and</w:t>
      </w:r>
      <w:r>
        <w:rPr>
          <w:rFonts w:ascii="Arial" w:hAnsi="Arial" w:cs="Arial"/>
          <w:lang w:val="en-GB"/>
        </w:rPr>
        <w:t>,</w:t>
      </w:r>
      <w:r w:rsidRPr="00AE6341">
        <w:rPr>
          <w:rFonts w:ascii="Arial" w:hAnsi="Arial" w:cs="Arial"/>
          <w:lang w:val="en-GB"/>
        </w:rPr>
        <w:t xml:space="preserve"> as </w:t>
      </w:r>
      <w:proofErr w:type="spellStart"/>
      <w:r w:rsidRPr="00AE6341">
        <w:rPr>
          <w:rFonts w:ascii="Arial" w:hAnsi="Arial" w:cs="Arial"/>
          <w:lang w:val="en-GB"/>
        </w:rPr>
        <w:t>Gonsalves-Sabola</w:t>
      </w:r>
      <w:proofErr w:type="spellEnd"/>
      <w:r w:rsidRPr="00AE6341">
        <w:rPr>
          <w:rFonts w:ascii="Arial" w:hAnsi="Arial" w:cs="Arial"/>
          <w:lang w:val="en-GB"/>
        </w:rPr>
        <w:t xml:space="preserve"> J found, it was not committed to any land in The Bahamas. The learned judge found that the diagram used by Thaddeus Johnson was not set out on the ground and therefore a useless paper.</w:t>
      </w:r>
      <w:r w:rsidR="00EA4C9F">
        <w:rPr>
          <w:rFonts w:ascii="Arial" w:hAnsi="Arial" w:cs="Arial"/>
          <w:lang w:val="en-GB"/>
        </w:rPr>
        <w:t xml:space="preserve"> All that the diagram purported to </w:t>
      </w:r>
      <w:r w:rsidR="002649EE">
        <w:rPr>
          <w:rFonts w:ascii="Arial" w:hAnsi="Arial" w:cs="Arial"/>
          <w:lang w:val="en-GB"/>
        </w:rPr>
        <w:t xml:space="preserve">demonstrate </w:t>
      </w:r>
      <w:r w:rsidR="00EA4C9F">
        <w:rPr>
          <w:rFonts w:ascii="Arial" w:hAnsi="Arial" w:cs="Arial"/>
          <w:lang w:val="en-GB"/>
        </w:rPr>
        <w:t xml:space="preserve">fell within </w:t>
      </w:r>
      <w:r w:rsidR="002649EE">
        <w:rPr>
          <w:rFonts w:ascii="Arial" w:hAnsi="Arial" w:cs="Arial"/>
          <w:lang w:val="en-GB"/>
        </w:rPr>
        <w:t xml:space="preserve">lands belonging to </w:t>
      </w:r>
      <w:r w:rsidR="00EA4C9F">
        <w:rPr>
          <w:rFonts w:ascii="Arial" w:hAnsi="Arial" w:cs="Arial"/>
          <w:lang w:val="en-GB"/>
        </w:rPr>
        <w:t>Arawak Homes</w:t>
      </w:r>
      <w:r w:rsidR="002649EE">
        <w:rPr>
          <w:rFonts w:ascii="Arial" w:hAnsi="Arial" w:cs="Arial"/>
          <w:lang w:val="en-GB"/>
        </w:rPr>
        <w:t>.</w:t>
      </w:r>
    </w:p>
    <w:p w:rsidR="00DD3C91" w:rsidRDefault="00DD3C91" w:rsidP="00DD3C91">
      <w:pPr>
        <w:rPr>
          <w:rFonts w:ascii="Arial" w:hAnsi="Arial" w:cs="Arial"/>
          <w:b/>
          <w:lang w:val="en-GB"/>
        </w:rPr>
      </w:pPr>
    </w:p>
    <w:p w:rsidR="002649EE" w:rsidRPr="0065548F" w:rsidRDefault="0065548F" w:rsidP="002649EE">
      <w:pPr>
        <w:spacing w:line="360" w:lineRule="auto"/>
        <w:rPr>
          <w:rFonts w:ascii="Arial" w:hAnsi="Arial" w:cs="Arial"/>
          <w:b/>
          <w:lang w:val="en-GB"/>
        </w:rPr>
      </w:pPr>
      <w:r w:rsidRPr="0065548F">
        <w:rPr>
          <w:rFonts w:ascii="Arial" w:hAnsi="Arial" w:cs="Arial"/>
          <w:b/>
          <w:lang w:val="en-GB"/>
        </w:rPr>
        <w:t>Conclusion</w:t>
      </w:r>
    </w:p>
    <w:p w:rsidR="002649EE" w:rsidRPr="00DD3C91" w:rsidRDefault="002649EE" w:rsidP="00DD3C91">
      <w:pPr>
        <w:pStyle w:val="ListParagraph"/>
        <w:widowControl w:val="0"/>
        <w:numPr>
          <w:ilvl w:val="0"/>
          <w:numId w:val="2"/>
        </w:numPr>
        <w:autoSpaceDE w:val="0"/>
        <w:autoSpaceDN w:val="0"/>
        <w:spacing w:line="360" w:lineRule="auto"/>
        <w:jc w:val="both"/>
        <w:rPr>
          <w:rFonts w:ascii="Arial" w:hAnsi="Arial" w:cs="Arial"/>
          <w:lang w:val="en-GB"/>
        </w:rPr>
      </w:pPr>
      <w:r>
        <w:rPr>
          <w:rFonts w:ascii="Arial" w:hAnsi="Arial" w:cs="Arial"/>
          <w:lang w:val="en-GB"/>
        </w:rPr>
        <w:t xml:space="preserve">There will be judgment for Arawak Homes with costs to be taxed if not agreed. In addition, the court </w:t>
      </w:r>
      <w:r w:rsidRPr="002649EE">
        <w:rPr>
          <w:rFonts w:ascii="Arial" w:hAnsi="Arial" w:cs="Arial"/>
          <w:lang w:val="en-GB"/>
        </w:rPr>
        <w:t xml:space="preserve">declares that the certificate of title granted to </w:t>
      </w:r>
      <w:proofErr w:type="spellStart"/>
      <w:r w:rsidRPr="002649EE">
        <w:rPr>
          <w:rFonts w:ascii="Arial" w:hAnsi="Arial" w:cs="Arial"/>
          <w:lang w:val="en-GB"/>
        </w:rPr>
        <w:t>Eleazor</w:t>
      </w:r>
      <w:proofErr w:type="spellEnd"/>
      <w:r w:rsidRPr="002649EE">
        <w:rPr>
          <w:rFonts w:ascii="Arial" w:hAnsi="Arial" w:cs="Arial"/>
          <w:lang w:val="en-GB"/>
        </w:rPr>
        <w:t xml:space="preserve"> Ferguson on 28 January 1985 by the Supreme Court in Quieting Action No. 10 of </w:t>
      </w:r>
      <w:r w:rsidRPr="002649EE">
        <w:rPr>
          <w:rFonts w:ascii="Arial" w:hAnsi="Arial" w:cs="Arial"/>
          <w:lang w:val="en-GB"/>
        </w:rPr>
        <w:lastRenderedPageBreak/>
        <w:t xml:space="preserve">1982 with respect to Blocks 89, </w:t>
      </w:r>
      <w:r w:rsidR="00A05C6A">
        <w:rPr>
          <w:rFonts w:ascii="Arial" w:hAnsi="Arial" w:cs="Arial"/>
          <w:lang w:val="en-GB"/>
        </w:rPr>
        <w:t>90, 91, 94, 127, 135, 136 and 16</w:t>
      </w:r>
      <w:r w:rsidRPr="002649EE">
        <w:rPr>
          <w:rFonts w:ascii="Arial" w:hAnsi="Arial" w:cs="Arial"/>
          <w:lang w:val="en-GB"/>
        </w:rPr>
        <w:t>4 as identified on the 1926 plan is null and void and of no effect.</w:t>
      </w:r>
    </w:p>
    <w:p w:rsidR="00DD3C91" w:rsidRDefault="00DD3C91" w:rsidP="00DD3C91">
      <w:pPr>
        <w:jc w:val="center"/>
        <w:rPr>
          <w:rFonts w:ascii="Arial" w:hAnsi="Arial" w:cs="Arial"/>
          <w:b/>
        </w:rPr>
      </w:pPr>
    </w:p>
    <w:p w:rsidR="007126B8" w:rsidRDefault="007126B8" w:rsidP="00DD3C91">
      <w:pPr>
        <w:jc w:val="center"/>
        <w:rPr>
          <w:rFonts w:ascii="Arial" w:hAnsi="Arial" w:cs="Arial"/>
          <w:b/>
        </w:rPr>
      </w:pPr>
    </w:p>
    <w:p w:rsidR="002649EE" w:rsidRDefault="002649EE" w:rsidP="00DD3C91">
      <w:pPr>
        <w:jc w:val="center"/>
        <w:rPr>
          <w:rFonts w:ascii="Arial" w:hAnsi="Arial" w:cs="Arial"/>
          <w:b/>
        </w:rPr>
      </w:pPr>
      <w:proofErr w:type="gramStart"/>
      <w:r>
        <w:rPr>
          <w:rFonts w:ascii="Arial" w:hAnsi="Arial" w:cs="Arial"/>
          <w:b/>
        </w:rPr>
        <w:t>Dated this 23</w:t>
      </w:r>
      <w:r w:rsidRPr="002649EE">
        <w:rPr>
          <w:rFonts w:ascii="Arial" w:hAnsi="Arial" w:cs="Arial"/>
          <w:b/>
          <w:vertAlign w:val="superscript"/>
        </w:rPr>
        <w:t>rd</w:t>
      </w:r>
      <w:r w:rsidR="00DD3C91">
        <w:rPr>
          <w:rFonts w:ascii="Arial" w:hAnsi="Arial" w:cs="Arial"/>
          <w:b/>
        </w:rPr>
        <w:t xml:space="preserve"> day of August, A.D. 2017</w:t>
      </w:r>
      <w:r w:rsidR="00AF1D5C">
        <w:rPr>
          <w:rFonts w:ascii="Arial" w:hAnsi="Arial" w:cs="Arial"/>
          <w:b/>
        </w:rPr>
        <w:t>.</w:t>
      </w:r>
      <w:proofErr w:type="gramEnd"/>
    </w:p>
    <w:p w:rsidR="002649EE" w:rsidRDefault="002649EE" w:rsidP="00305B1D">
      <w:pPr>
        <w:rPr>
          <w:rFonts w:ascii="Arial" w:hAnsi="Arial" w:cs="Arial"/>
          <w:b/>
        </w:rPr>
      </w:pPr>
    </w:p>
    <w:p w:rsidR="00DD3C91" w:rsidRDefault="00DD3C91" w:rsidP="007A29E1">
      <w:pPr>
        <w:jc w:val="center"/>
        <w:rPr>
          <w:rFonts w:ascii="Arial" w:hAnsi="Arial" w:cs="Arial"/>
          <w:b/>
        </w:rPr>
      </w:pPr>
    </w:p>
    <w:p w:rsidR="00DD3C91" w:rsidRDefault="00DD3C91" w:rsidP="00DD3C91">
      <w:pPr>
        <w:rPr>
          <w:rFonts w:ascii="Arial" w:hAnsi="Arial" w:cs="Arial"/>
          <w:b/>
        </w:rPr>
      </w:pPr>
    </w:p>
    <w:p w:rsidR="007126B8" w:rsidRDefault="007126B8" w:rsidP="00DD3C91">
      <w:pPr>
        <w:rPr>
          <w:rFonts w:ascii="Arial" w:hAnsi="Arial" w:cs="Arial"/>
          <w:b/>
        </w:rPr>
      </w:pPr>
    </w:p>
    <w:p w:rsidR="007126B8" w:rsidRDefault="007126B8" w:rsidP="00DD3C91">
      <w:pPr>
        <w:rPr>
          <w:rFonts w:ascii="Arial" w:hAnsi="Arial" w:cs="Arial"/>
          <w:b/>
        </w:rPr>
      </w:pPr>
    </w:p>
    <w:p w:rsidR="002649EE" w:rsidRDefault="002649EE" w:rsidP="007A29E1">
      <w:pPr>
        <w:jc w:val="center"/>
        <w:rPr>
          <w:rFonts w:ascii="Arial" w:hAnsi="Arial" w:cs="Arial"/>
          <w:b/>
        </w:rPr>
      </w:pPr>
      <w:proofErr w:type="spellStart"/>
      <w:r>
        <w:rPr>
          <w:rFonts w:ascii="Arial" w:hAnsi="Arial" w:cs="Arial"/>
          <w:b/>
        </w:rPr>
        <w:t>Indra</w:t>
      </w:r>
      <w:proofErr w:type="spellEnd"/>
      <w:r>
        <w:rPr>
          <w:rFonts w:ascii="Arial" w:hAnsi="Arial" w:cs="Arial"/>
          <w:b/>
        </w:rPr>
        <w:t xml:space="preserve"> H. Charles</w:t>
      </w:r>
    </w:p>
    <w:p w:rsidR="007A29E1" w:rsidRPr="007A29E1" w:rsidRDefault="002649EE" w:rsidP="002649EE">
      <w:pPr>
        <w:jc w:val="center"/>
        <w:rPr>
          <w:rFonts w:ascii="Arial" w:hAnsi="Arial" w:cs="Arial"/>
          <w:b/>
        </w:rPr>
      </w:pPr>
      <w:r>
        <w:rPr>
          <w:rFonts w:ascii="Arial" w:hAnsi="Arial" w:cs="Arial"/>
          <w:b/>
        </w:rPr>
        <w:t>Justice</w:t>
      </w:r>
    </w:p>
    <w:sectPr w:rsidR="007A29E1" w:rsidRPr="007A29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1A" w:rsidRDefault="000D081A" w:rsidP="003C136D">
      <w:r>
        <w:separator/>
      </w:r>
    </w:p>
  </w:endnote>
  <w:endnote w:type="continuationSeparator" w:id="0">
    <w:p w:rsidR="000D081A" w:rsidRDefault="000D081A" w:rsidP="003C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63008"/>
      <w:docPartObj>
        <w:docPartGallery w:val="Page Numbers (Bottom of Page)"/>
        <w:docPartUnique/>
      </w:docPartObj>
    </w:sdtPr>
    <w:sdtEndPr>
      <w:rPr>
        <w:noProof/>
      </w:rPr>
    </w:sdtEndPr>
    <w:sdtContent>
      <w:p w:rsidR="00583AA6" w:rsidRDefault="00583AA6">
        <w:pPr>
          <w:pStyle w:val="Footer"/>
          <w:jc w:val="center"/>
        </w:pPr>
        <w:r>
          <w:fldChar w:fldCharType="begin"/>
        </w:r>
        <w:r>
          <w:instrText xml:space="preserve"> PAGE   \* MERGEFORMAT </w:instrText>
        </w:r>
        <w:r>
          <w:fldChar w:fldCharType="separate"/>
        </w:r>
        <w:r w:rsidR="00D32C59">
          <w:rPr>
            <w:noProof/>
          </w:rPr>
          <w:t>1</w:t>
        </w:r>
        <w:r>
          <w:rPr>
            <w:noProof/>
          </w:rPr>
          <w:fldChar w:fldCharType="end"/>
        </w:r>
      </w:p>
    </w:sdtContent>
  </w:sdt>
  <w:p w:rsidR="00583AA6" w:rsidRDefault="00583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1A" w:rsidRDefault="000D081A" w:rsidP="003C136D">
      <w:r>
        <w:separator/>
      </w:r>
    </w:p>
  </w:footnote>
  <w:footnote w:type="continuationSeparator" w:id="0">
    <w:p w:rsidR="000D081A" w:rsidRDefault="000D081A" w:rsidP="003C1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D4"/>
    <w:multiLevelType w:val="hybridMultilevel"/>
    <w:tmpl w:val="4740BE2A"/>
    <w:lvl w:ilvl="0" w:tplc="A1524D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C0D45"/>
    <w:multiLevelType w:val="hybridMultilevel"/>
    <w:tmpl w:val="5598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644B"/>
    <w:multiLevelType w:val="hybridMultilevel"/>
    <w:tmpl w:val="AE3CD2DC"/>
    <w:lvl w:ilvl="0" w:tplc="D4E02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F1BFD"/>
    <w:multiLevelType w:val="hybridMultilevel"/>
    <w:tmpl w:val="1822373C"/>
    <w:lvl w:ilvl="0" w:tplc="EBE8B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D20C9"/>
    <w:multiLevelType w:val="hybridMultilevel"/>
    <w:tmpl w:val="3CDE9788"/>
    <w:lvl w:ilvl="0" w:tplc="E4227CE6">
      <w:start w:val="1"/>
      <w:numFmt w:val="decimal"/>
      <w:lvlText w:val="%1."/>
      <w:lvlJc w:val="left"/>
      <w:pPr>
        <w:tabs>
          <w:tab w:val="num" w:pos="360"/>
        </w:tabs>
        <w:ind w:left="360" w:hanging="360"/>
      </w:pPr>
      <w:rPr>
        <w:rFonts w:hint="default"/>
        <w:sz w:val="24"/>
      </w:rPr>
    </w:lvl>
    <w:lvl w:ilvl="1" w:tplc="5A1448EE">
      <w:start w:val="1"/>
      <w:numFmt w:val="lowerRoman"/>
      <w:lvlText w:val="(%2)"/>
      <w:lvlJc w:val="left"/>
      <w:pPr>
        <w:tabs>
          <w:tab w:val="num" w:pos="1440"/>
        </w:tabs>
        <w:ind w:left="1440" w:hanging="720"/>
      </w:pPr>
      <w:rPr>
        <w:rFonts w:hint="default"/>
      </w:rPr>
    </w:lvl>
    <w:lvl w:ilvl="2" w:tplc="DF9872C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4C7D7A"/>
    <w:multiLevelType w:val="hybridMultilevel"/>
    <w:tmpl w:val="DB98EC56"/>
    <w:lvl w:ilvl="0" w:tplc="35D23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77B26"/>
    <w:multiLevelType w:val="hybridMultilevel"/>
    <w:tmpl w:val="65E46E30"/>
    <w:lvl w:ilvl="0" w:tplc="B464FA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DB6866"/>
    <w:multiLevelType w:val="hybridMultilevel"/>
    <w:tmpl w:val="E3C0FA66"/>
    <w:lvl w:ilvl="0" w:tplc="71924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52286"/>
    <w:multiLevelType w:val="hybridMultilevel"/>
    <w:tmpl w:val="F426D77A"/>
    <w:lvl w:ilvl="0" w:tplc="F016075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110992"/>
    <w:multiLevelType w:val="hybridMultilevel"/>
    <w:tmpl w:val="06D6A072"/>
    <w:lvl w:ilvl="0" w:tplc="F36E59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0550A0"/>
    <w:multiLevelType w:val="hybridMultilevel"/>
    <w:tmpl w:val="C31A2D2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A853A61"/>
    <w:multiLevelType w:val="hybridMultilevel"/>
    <w:tmpl w:val="74EC203A"/>
    <w:lvl w:ilvl="0" w:tplc="C0D6801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8BF1DEB"/>
    <w:multiLevelType w:val="hybridMultilevel"/>
    <w:tmpl w:val="2E0CE51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E970A7"/>
    <w:multiLevelType w:val="hybridMultilevel"/>
    <w:tmpl w:val="A5D8D9C4"/>
    <w:lvl w:ilvl="0" w:tplc="C23898C2">
      <w:start w:val="1"/>
      <w:numFmt w:val="decimal"/>
      <w:lvlText w:val="[%1]"/>
      <w:lvlJc w:val="left"/>
      <w:pPr>
        <w:tabs>
          <w:tab w:val="num" w:pos="720"/>
        </w:tabs>
        <w:ind w:left="720" w:hanging="720"/>
      </w:pPr>
      <w:rPr>
        <w:b w:val="0"/>
      </w:rPr>
    </w:lvl>
    <w:lvl w:ilvl="1" w:tplc="BD2268AC">
      <w:start w:val="1"/>
      <w:numFmt w:val="lowerRoman"/>
      <w:lvlText w:val="(%2)"/>
      <w:lvlJc w:val="left"/>
      <w:pPr>
        <w:tabs>
          <w:tab w:val="num" w:pos="1800"/>
        </w:tabs>
        <w:ind w:left="1800" w:hanging="720"/>
      </w:pPr>
    </w:lvl>
    <w:lvl w:ilvl="2" w:tplc="EFD0C8F2">
      <w:start w:val="1"/>
      <w:numFmt w:val="decimal"/>
      <w:lvlText w:val="(%3)"/>
      <w:lvlJc w:val="left"/>
      <w:pPr>
        <w:tabs>
          <w:tab w:val="num" w:pos="2340"/>
        </w:tabs>
        <w:ind w:left="2340" w:hanging="360"/>
      </w:pPr>
      <w:rPr>
        <w:rFonts w:ascii="Arial" w:eastAsia="Times New Roman" w:hAnsi="Arial" w:cs="Arial"/>
      </w:rPr>
    </w:lvl>
    <w:lvl w:ilvl="3" w:tplc="659C947E">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DDD39DF"/>
    <w:multiLevelType w:val="hybridMultilevel"/>
    <w:tmpl w:val="DEB095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8E973B6"/>
    <w:multiLevelType w:val="hybridMultilevel"/>
    <w:tmpl w:val="9FB6B75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BFD268D"/>
    <w:multiLevelType w:val="hybridMultilevel"/>
    <w:tmpl w:val="32101952"/>
    <w:lvl w:ilvl="0" w:tplc="8EF248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643622"/>
    <w:multiLevelType w:val="hybridMultilevel"/>
    <w:tmpl w:val="DD9C3D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5B5E6B"/>
    <w:multiLevelType w:val="hybridMultilevel"/>
    <w:tmpl w:val="064AAC54"/>
    <w:lvl w:ilvl="0" w:tplc="E94C9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4"/>
  </w:num>
  <w:num w:numId="6">
    <w:abstractNumId w:val="10"/>
  </w:num>
  <w:num w:numId="7">
    <w:abstractNumId w:val="14"/>
  </w:num>
  <w:num w:numId="8">
    <w:abstractNumId w:val="15"/>
  </w:num>
  <w:num w:numId="9">
    <w:abstractNumId w:val="17"/>
  </w:num>
  <w:num w:numId="10">
    <w:abstractNumId w:val="6"/>
  </w:num>
  <w:num w:numId="11">
    <w:abstractNumId w:val="0"/>
  </w:num>
  <w:num w:numId="12">
    <w:abstractNumId w:val="9"/>
  </w:num>
  <w:num w:numId="13">
    <w:abstractNumId w:val="2"/>
  </w:num>
  <w:num w:numId="14">
    <w:abstractNumId w:val="12"/>
  </w:num>
  <w:num w:numId="15">
    <w:abstractNumId w:val="1"/>
  </w:num>
  <w:num w:numId="16">
    <w:abstractNumId w:val="18"/>
  </w:num>
  <w:num w:numId="17">
    <w:abstractNumId w:val="8"/>
  </w:num>
  <w:num w:numId="18">
    <w:abstractNumId w:val="7"/>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5E"/>
    <w:rsid w:val="00003B17"/>
    <w:rsid w:val="00004487"/>
    <w:rsid w:val="00005D8F"/>
    <w:rsid w:val="00010FE7"/>
    <w:rsid w:val="000120D4"/>
    <w:rsid w:val="000124D1"/>
    <w:rsid w:val="00012543"/>
    <w:rsid w:val="00012587"/>
    <w:rsid w:val="00012BBD"/>
    <w:rsid w:val="000148FA"/>
    <w:rsid w:val="0001525F"/>
    <w:rsid w:val="000154BA"/>
    <w:rsid w:val="0002029A"/>
    <w:rsid w:val="00020375"/>
    <w:rsid w:val="00021256"/>
    <w:rsid w:val="000232D1"/>
    <w:rsid w:val="00023DB6"/>
    <w:rsid w:val="00025B49"/>
    <w:rsid w:val="00033C51"/>
    <w:rsid w:val="00034244"/>
    <w:rsid w:val="00034572"/>
    <w:rsid w:val="00035768"/>
    <w:rsid w:val="00035CC1"/>
    <w:rsid w:val="0003688A"/>
    <w:rsid w:val="00036A39"/>
    <w:rsid w:val="000404E3"/>
    <w:rsid w:val="00040C99"/>
    <w:rsid w:val="000432FB"/>
    <w:rsid w:val="00046C94"/>
    <w:rsid w:val="00050170"/>
    <w:rsid w:val="00051402"/>
    <w:rsid w:val="00051CA7"/>
    <w:rsid w:val="00052C08"/>
    <w:rsid w:val="00053ACE"/>
    <w:rsid w:val="00057DA5"/>
    <w:rsid w:val="00060A84"/>
    <w:rsid w:val="00061B54"/>
    <w:rsid w:val="00061B5D"/>
    <w:rsid w:val="00062D0A"/>
    <w:rsid w:val="00064678"/>
    <w:rsid w:val="0006533A"/>
    <w:rsid w:val="00065F11"/>
    <w:rsid w:val="000667A1"/>
    <w:rsid w:val="00066813"/>
    <w:rsid w:val="00073D9C"/>
    <w:rsid w:val="00073F07"/>
    <w:rsid w:val="00074AC0"/>
    <w:rsid w:val="00074E64"/>
    <w:rsid w:val="00075236"/>
    <w:rsid w:val="00076530"/>
    <w:rsid w:val="0007703F"/>
    <w:rsid w:val="000772CE"/>
    <w:rsid w:val="000773E0"/>
    <w:rsid w:val="00077AAD"/>
    <w:rsid w:val="0008061B"/>
    <w:rsid w:val="00080BD2"/>
    <w:rsid w:val="00080F9E"/>
    <w:rsid w:val="0008314F"/>
    <w:rsid w:val="00083312"/>
    <w:rsid w:val="00083314"/>
    <w:rsid w:val="0008658C"/>
    <w:rsid w:val="00090A90"/>
    <w:rsid w:val="000916D3"/>
    <w:rsid w:val="00092B7F"/>
    <w:rsid w:val="00092BBD"/>
    <w:rsid w:val="000954C4"/>
    <w:rsid w:val="00095870"/>
    <w:rsid w:val="00095FFC"/>
    <w:rsid w:val="000977B2"/>
    <w:rsid w:val="0009798F"/>
    <w:rsid w:val="00097E3F"/>
    <w:rsid w:val="000A0B4F"/>
    <w:rsid w:val="000A1337"/>
    <w:rsid w:val="000A1439"/>
    <w:rsid w:val="000A2F7A"/>
    <w:rsid w:val="000A5812"/>
    <w:rsid w:val="000A67A1"/>
    <w:rsid w:val="000A6ADA"/>
    <w:rsid w:val="000A72C9"/>
    <w:rsid w:val="000B017B"/>
    <w:rsid w:val="000B3F17"/>
    <w:rsid w:val="000B45B3"/>
    <w:rsid w:val="000B54FD"/>
    <w:rsid w:val="000B5914"/>
    <w:rsid w:val="000B5AE4"/>
    <w:rsid w:val="000B724C"/>
    <w:rsid w:val="000B76CF"/>
    <w:rsid w:val="000C0272"/>
    <w:rsid w:val="000C5000"/>
    <w:rsid w:val="000C7AB4"/>
    <w:rsid w:val="000D081A"/>
    <w:rsid w:val="000D25C2"/>
    <w:rsid w:val="000D29E8"/>
    <w:rsid w:val="000D2A7C"/>
    <w:rsid w:val="000D2B22"/>
    <w:rsid w:val="000D2F0F"/>
    <w:rsid w:val="000D4E18"/>
    <w:rsid w:val="000D53DB"/>
    <w:rsid w:val="000D6078"/>
    <w:rsid w:val="000D7A09"/>
    <w:rsid w:val="000E08C3"/>
    <w:rsid w:val="000E1B27"/>
    <w:rsid w:val="000E25C5"/>
    <w:rsid w:val="000E32F2"/>
    <w:rsid w:val="000E7607"/>
    <w:rsid w:val="000F0447"/>
    <w:rsid w:val="000F14B6"/>
    <w:rsid w:val="000F27F7"/>
    <w:rsid w:val="001018AC"/>
    <w:rsid w:val="0010199D"/>
    <w:rsid w:val="00103C55"/>
    <w:rsid w:val="00104703"/>
    <w:rsid w:val="00105358"/>
    <w:rsid w:val="00106486"/>
    <w:rsid w:val="0010674C"/>
    <w:rsid w:val="00106863"/>
    <w:rsid w:val="00107AB7"/>
    <w:rsid w:val="00111357"/>
    <w:rsid w:val="00113D51"/>
    <w:rsid w:val="00114079"/>
    <w:rsid w:val="00115687"/>
    <w:rsid w:val="00116E1D"/>
    <w:rsid w:val="0011704F"/>
    <w:rsid w:val="0012094C"/>
    <w:rsid w:val="001235CC"/>
    <w:rsid w:val="00125613"/>
    <w:rsid w:val="0012612C"/>
    <w:rsid w:val="00130C9D"/>
    <w:rsid w:val="0013151A"/>
    <w:rsid w:val="0013472B"/>
    <w:rsid w:val="00135BB3"/>
    <w:rsid w:val="0013665E"/>
    <w:rsid w:val="00140075"/>
    <w:rsid w:val="001407EA"/>
    <w:rsid w:val="00143E66"/>
    <w:rsid w:val="00144009"/>
    <w:rsid w:val="0014408D"/>
    <w:rsid w:val="00144C04"/>
    <w:rsid w:val="00145E02"/>
    <w:rsid w:val="0014648B"/>
    <w:rsid w:val="00146CC0"/>
    <w:rsid w:val="001470AA"/>
    <w:rsid w:val="00147401"/>
    <w:rsid w:val="001476B6"/>
    <w:rsid w:val="00151833"/>
    <w:rsid w:val="00153197"/>
    <w:rsid w:val="00153527"/>
    <w:rsid w:val="00153C7F"/>
    <w:rsid w:val="001545F9"/>
    <w:rsid w:val="001559F0"/>
    <w:rsid w:val="00161461"/>
    <w:rsid w:val="00162D35"/>
    <w:rsid w:val="001641A2"/>
    <w:rsid w:val="0016655B"/>
    <w:rsid w:val="00167E66"/>
    <w:rsid w:val="00173BBC"/>
    <w:rsid w:val="00175CBE"/>
    <w:rsid w:val="001763A1"/>
    <w:rsid w:val="00177B52"/>
    <w:rsid w:val="001814C4"/>
    <w:rsid w:val="00181BD8"/>
    <w:rsid w:val="00183C18"/>
    <w:rsid w:val="00183CA1"/>
    <w:rsid w:val="00190031"/>
    <w:rsid w:val="00191C03"/>
    <w:rsid w:val="0019281B"/>
    <w:rsid w:val="00193308"/>
    <w:rsid w:val="001936E9"/>
    <w:rsid w:val="001A0C00"/>
    <w:rsid w:val="001A11E1"/>
    <w:rsid w:val="001A1599"/>
    <w:rsid w:val="001A2494"/>
    <w:rsid w:val="001A2509"/>
    <w:rsid w:val="001A3925"/>
    <w:rsid w:val="001A431B"/>
    <w:rsid w:val="001A4D79"/>
    <w:rsid w:val="001A6F62"/>
    <w:rsid w:val="001A74FC"/>
    <w:rsid w:val="001B1514"/>
    <w:rsid w:val="001B26F7"/>
    <w:rsid w:val="001B2DE2"/>
    <w:rsid w:val="001B3086"/>
    <w:rsid w:val="001B4DB3"/>
    <w:rsid w:val="001C0C0A"/>
    <w:rsid w:val="001C3743"/>
    <w:rsid w:val="001C6886"/>
    <w:rsid w:val="001C6DF6"/>
    <w:rsid w:val="001C6E06"/>
    <w:rsid w:val="001D07E4"/>
    <w:rsid w:val="001D25ED"/>
    <w:rsid w:val="001D42E5"/>
    <w:rsid w:val="001D4FD3"/>
    <w:rsid w:val="001D5803"/>
    <w:rsid w:val="001D62AD"/>
    <w:rsid w:val="001D6431"/>
    <w:rsid w:val="001E04D7"/>
    <w:rsid w:val="001E339B"/>
    <w:rsid w:val="001E47CB"/>
    <w:rsid w:val="001E4C42"/>
    <w:rsid w:val="001E52EF"/>
    <w:rsid w:val="001E75D7"/>
    <w:rsid w:val="001E79AD"/>
    <w:rsid w:val="001F0A2B"/>
    <w:rsid w:val="001F2159"/>
    <w:rsid w:val="001F3237"/>
    <w:rsid w:val="001F5D5D"/>
    <w:rsid w:val="001F709B"/>
    <w:rsid w:val="0020076A"/>
    <w:rsid w:val="00200A49"/>
    <w:rsid w:val="00200B7D"/>
    <w:rsid w:val="00201A1E"/>
    <w:rsid w:val="00202887"/>
    <w:rsid w:val="00203370"/>
    <w:rsid w:val="002059A3"/>
    <w:rsid w:val="00210242"/>
    <w:rsid w:val="002128F0"/>
    <w:rsid w:val="00212AB4"/>
    <w:rsid w:val="00213650"/>
    <w:rsid w:val="0021447D"/>
    <w:rsid w:val="002174BD"/>
    <w:rsid w:val="002208FF"/>
    <w:rsid w:val="002209AD"/>
    <w:rsid w:val="00222124"/>
    <w:rsid w:val="002222DB"/>
    <w:rsid w:val="0022383C"/>
    <w:rsid w:val="00223CA9"/>
    <w:rsid w:val="0022423C"/>
    <w:rsid w:val="00227DE2"/>
    <w:rsid w:val="00230AF7"/>
    <w:rsid w:val="002312BF"/>
    <w:rsid w:val="0023180D"/>
    <w:rsid w:val="00231976"/>
    <w:rsid w:val="00233D80"/>
    <w:rsid w:val="00235B91"/>
    <w:rsid w:val="00236596"/>
    <w:rsid w:val="00236DE4"/>
    <w:rsid w:val="00236F69"/>
    <w:rsid w:val="002400E4"/>
    <w:rsid w:val="00241B4A"/>
    <w:rsid w:val="002428CD"/>
    <w:rsid w:val="00242A1F"/>
    <w:rsid w:val="002446B2"/>
    <w:rsid w:val="002451FE"/>
    <w:rsid w:val="002462AD"/>
    <w:rsid w:val="00247F08"/>
    <w:rsid w:val="00250222"/>
    <w:rsid w:val="00250B97"/>
    <w:rsid w:val="00251307"/>
    <w:rsid w:val="0025222B"/>
    <w:rsid w:val="00254A5F"/>
    <w:rsid w:val="00257F30"/>
    <w:rsid w:val="00260D09"/>
    <w:rsid w:val="00261909"/>
    <w:rsid w:val="00262488"/>
    <w:rsid w:val="002631E0"/>
    <w:rsid w:val="002634B6"/>
    <w:rsid w:val="002642BC"/>
    <w:rsid w:val="00264770"/>
    <w:rsid w:val="002649EE"/>
    <w:rsid w:val="00264CA8"/>
    <w:rsid w:val="0026541D"/>
    <w:rsid w:val="00265B08"/>
    <w:rsid w:val="00267EB6"/>
    <w:rsid w:val="00271779"/>
    <w:rsid w:val="00272BF1"/>
    <w:rsid w:val="00272F82"/>
    <w:rsid w:val="00276056"/>
    <w:rsid w:val="002764B5"/>
    <w:rsid w:val="00277FCD"/>
    <w:rsid w:val="0028079C"/>
    <w:rsid w:val="00282488"/>
    <w:rsid w:val="002824A0"/>
    <w:rsid w:val="00282660"/>
    <w:rsid w:val="00283B15"/>
    <w:rsid w:val="0028432F"/>
    <w:rsid w:val="00285130"/>
    <w:rsid w:val="002866F3"/>
    <w:rsid w:val="00286DDE"/>
    <w:rsid w:val="00287353"/>
    <w:rsid w:val="0029073D"/>
    <w:rsid w:val="00292359"/>
    <w:rsid w:val="00295ED1"/>
    <w:rsid w:val="0029669D"/>
    <w:rsid w:val="002968F7"/>
    <w:rsid w:val="002978E2"/>
    <w:rsid w:val="002A0466"/>
    <w:rsid w:val="002A1289"/>
    <w:rsid w:val="002A214E"/>
    <w:rsid w:val="002A21E6"/>
    <w:rsid w:val="002A2601"/>
    <w:rsid w:val="002A2E09"/>
    <w:rsid w:val="002A60A5"/>
    <w:rsid w:val="002A79B8"/>
    <w:rsid w:val="002B4F9F"/>
    <w:rsid w:val="002B5ACC"/>
    <w:rsid w:val="002B5CF9"/>
    <w:rsid w:val="002B7354"/>
    <w:rsid w:val="002C11EC"/>
    <w:rsid w:val="002C1AA7"/>
    <w:rsid w:val="002C5E32"/>
    <w:rsid w:val="002C61F4"/>
    <w:rsid w:val="002D0CF0"/>
    <w:rsid w:val="002D431D"/>
    <w:rsid w:val="002D4FB3"/>
    <w:rsid w:val="002D59BE"/>
    <w:rsid w:val="002D5A7B"/>
    <w:rsid w:val="002D5E14"/>
    <w:rsid w:val="002D640D"/>
    <w:rsid w:val="002D6484"/>
    <w:rsid w:val="002E0076"/>
    <w:rsid w:val="002E05C3"/>
    <w:rsid w:val="002E28C5"/>
    <w:rsid w:val="002E3635"/>
    <w:rsid w:val="002E5EF1"/>
    <w:rsid w:val="002E7C3E"/>
    <w:rsid w:val="002F1A83"/>
    <w:rsid w:val="002F1F73"/>
    <w:rsid w:val="002F3119"/>
    <w:rsid w:val="002F3594"/>
    <w:rsid w:val="002F6B25"/>
    <w:rsid w:val="002F6D08"/>
    <w:rsid w:val="00300FA1"/>
    <w:rsid w:val="00302AD5"/>
    <w:rsid w:val="0030428B"/>
    <w:rsid w:val="0030428E"/>
    <w:rsid w:val="00304F5A"/>
    <w:rsid w:val="00305668"/>
    <w:rsid w:val="00305B1D"/>
    <w:rsid w:val="00311158"/>
    <w:rsid w:val="0031301A"/>
    <w:rsid w:val="00313278"/>
    <w:rsid w:val="00314B47"/>
    <w:rsid w:val="0031587D"/>
    <w:rsid w:val="003176BC"/>
    <w:rsid w:val="00320992"/>
    <w:rsid w:val="00321FB2"/>
    <w:rsid w:val="00323625"/>
    <w:rsid w:val="00324895"/>
    <w:rsid w:val="00324E3A"/>
    <w:rsid w:val="003251E5"/>
    <w:rsid w:val="00325BBD"/>
    <w:rsid w:val="003263A2"/>
    <w:rsid w:val="0032673B"/>
    <w:rsid w:val="00326852"/>
    <w:rsid w:val="00327061"/>
    <w:rsid w:val="0033064C"/>
    <w:rsid w:val="00330A83"/>
    <w:rsid w:val="003317FD"/>
    <w:rsid w:val="00333325"/>
    <w:rsid w:val="00334A08"/>
    <w:rsid w:val="00334AF8"/>
    <w:rsid w:val="00336606"/>
    <w:rsid w:val="00337044"/>
    <w:rsid w:val="003376B3"/>
    <w:rsid w:val="00340B0A"/>
    <w:rsid w:val="00343335"/>
    <w:rsid w:val="0034425C"/>
    <w:rsid w:val="00344428"/>
    <w:rsid w:val="0034495D"/>
    <w:rsid w:val="00345BB0"/>
    <w:rsid w:val="0034714B"/>
    <w:rsid w:val="00347CA7"/>
    <w:rsid w:val="0035221F"/>
    <w:rsid w:val="003533FD"/>
    <w:rsid w:val="003538EE"/>
    <w:rsid w:val="003548B0"/>
    <w:rsid w:val="00360BDD"/>
    <w:rsid w:val="003620C4"/>
    <w:rsid w:val="003624B4"/>
    <w:rsid w:val="0036348F"/>
    <w:rsid w:val="00363C5C"/>
    <w:rsid w:val="00365F75"/>
    <w:rsid w:val="003676FB"/>
    <w:rsid w:val="003707C3"/>
    <w:rsid w:val="00371792"/>
    <w:rsid w:val="00372524"/>
    <w:rsid w:val="00372C1A"/>
    <w:rsid w:val="003738EE"/>
    <w:rsid w:val="0037536D"/>
    <w:rsid w:val="00376107"/>
    <w:rsid w:val="00376CAD"/>
    <w:rsid w:val="00377011"/>
    <w:rsid w:val="00380389"/>
    <w:rsid w:val="00380486"/>
    <w:rsid w:val="00380569"/>
    <w:rsid w:val="0038210E"/>
    <w:rsid w:val="00382DC9"/>
    <w:rsid w:val="0038320D"/>
    <w:rsid w:val="00383431"/>
    <w:rsid w:val="00383B46"/>
    <w:rsid w:val="00385412"/>
    <w:rsid w:val="00386394"/>
    <w:rsid w:val="00386FE6"/>
    <w:rsid w:val="00387A21"/>
    <w:rsid w:val="00387AD1"/>
    <w:rsid w:val="00387E26"/>
    <w:rsid w:val="0039083D"/>
    <w:rsid w:val="0039111E"/>
    <w:rsid w:val="00393B71"/>
    <w:rsid w:val="00393FAC"/>
    <w:rsid w:val="00394EC9"/>
    <w:rsid w:val="003970C3"/>
    <w:rsid w:val="00397D77"/>
    <w:rsid w:val="003A0252"/>
    <w:rsid w:val="003A1144"/>
    <w:rsid w:val="003A2EE2"/>
    <w:rsid w:val="003A50BC"/>
    <w:rsid w:val="003A59C7"/>
    <w:rsid w:val="003A6BB5"/>
    <w:rsid w:val="003B0C4D"/>
    <w:rsid w:val="003B1500"/>
    <w:rsid w:val="003B2BA0"/>
    <w:rsid w:val="003B687C"/>
    <w:rsid w:val="003B691D"/>
    <w:rsid w:val="003C03FE"/>
    <w:rsid w:val="003C136D"/>
    <w:rsid w:val="003C2F8D"/>
    <w:rsid w:val="003C4302"/>
    <w:rsid w:val="003C444B"/>
    <w:rsid w:val="003C4493"/>
    <w:rsid w:val="003C451D"/>
    <w:rsid w:val="003C5F1D"/>
    <w:rsid w:val="003C66FA"/>
    <w:rsid w:val="003D0A56"/>
    <w:rsid w:val="003D298F"/>
    <w:rsid w:val="003D332B"/>
    <w:rsid w:val="003D5BC5"/>
    <w:rsid w:val="003D692E"/>
    <w:rsid w:val="003E04E5"/>
    <w:rsid w:val="003E1D49"/>
    <w:rsid w:val="003E304B"/>
    <w:rsid w:val="003E315F"/>
    <w:rsid w:val="003E3CAC"/>
    <w:rsid w:val="003E4BAD"/>
    <w:rsid w:val="003E6294"/>
    <w:rsid w:val="003E62FC"/>
    <w:rsid w:val="003E6A34"/>
    <w:rsid w:val="003E7CF0"/>
    <w:rsid w:val="003F1281"/>
    <w:rsid w:val="003F2AD2"/>
    <w:rsid w:val="003F3427"/>
    <w:rsid w:val="003F3DAD"/>
    <w:rsid w:val="003F4A18"/>
    <w:rsid w:val="003F5757"/>
    <w:rsid w:val="003F5CD9"/>
    <w:rsid w:val="003F5F2D"/>
    <w:rsid w:val="003F63E4"/>
    <w:rsid w:val="003F741D"/>
    <w:rsid w:val="003F772B"/>
    <w:rsid w:val="0040155A"/>
    <w:rsid w:val="00403445"/>
    <w:rsid w:val="0040590D"/>
    <w:rsid w:val="0040649C"/>
    <w:rsid w:val="004071B3"/>
    <w:rsid w:val="00407CC8"/>
    <w:rsid w:val="00407DD8"/>
    <w:rsid w:val="00410026"/>
    <w:rsid w:val="004105F0"/>
    <w:rsid w:val="00412C56"/>
    <w:rsid w:val="00413863"/>
    <w:rsid w:val="00414117"/>
    <w:rsid w:val="0041519A"/>
    <w:rsid w:val="00416B0F"/>
    <w:rsid w:val="00417B25"/>
    <w:rsid w:val="00421D7A"/>
    <w:rsid w:val="00423E3F"/>
    <w:rsid w:val="00424C66"/>
    <w:rsid w:val="00425FE4"/>
    <w:rsid w:val="004266AD"/>
    <w:rsid w:val="004316BE"/>
    <w:rsid w:val="00431CD6"/>
    <w:rsid w:val="0043303F"/>
    <w:rsid w:val="00433579"/>
    <w:rsid w:val="00433C7F"/>
    <w:rsid w:val="00433E8F"/>
    <w:rsid w:val="00434984"/>
    <w:rsid w:val="004364A2"/>
    <w:rsid w:val="00437358"/>
    <w:rsid w:val="004408FD"/>
    <w:rsid w:val="00442528"/>
    <w:rsid w:val="004435D0"/>
    <w:rsid w:val="00444257"/>
    <w:rsid w:val="00445EBE"/>
    <w:rsid w:val="00447830"/>
    <w:rsid w:val="0044784B"/>
    <w:rsid w:val="004535BA"/>
    <w:rsid w:val="00454FE3"/>
    <w:rsid w:val="004556BC"/>
    <w:rsid w:val="00463AA5"/>
    <w:rsid w:val="004717DE"/>
    <w:rsid w:val="00473E9F"/>
    <w:rsid w:val="004750AB"/>
    <w:rsid w:val="0047607E"/>
    <w:rsid w:val="0047698D"/>
    <w:rsid w:val="00480BFF"/>
    <w:rsid w:val="004815D7"/>
    <w:rsid w:val="00484C2E"/>
    <w:rsid w:val="00485BCE"/>
    <w:rsid w:val="00486C05"/>
    <w:rsid w:val="00487225"/>
    <w:rsid w:val="00487CDA"/>
    <w:rsid w:val="00490989"/>
    <w:rsid w:val="00493030"/>
    <w:rsid w:val="00494F94"/>
    <w:rsid w:val="004954F8"/>
    <w:rsid w:val="00495670"/>
    <w:rsid w:val="004A3C54"/>
    <w:rsid w:val="004A55E3"/>
    <w:rsid w:val="004A5A0A"/>
    <w:rsid w:val="004B0554"/>
    <w:rsid w:val="004B09D0"/>
    <w:rsid w:val="004B222C"/>
    <w:rsid w:val="004B315E"/>
    <w:rsid w:val="004B405B"/>
    <w:rsid w:val="004B53B2"/>
    <w:rsid w:val="004C276F"/>
    <w:rsid w:val="004C37BA"/>
    <w:rsid w:val="004C3BBB"/>
    <w:rsid w:val="004C44D9"/>
    <w:rsid w:val="004C5B8E"/>
    <w:rsid w:val="004C6490"/>
    <w:rsid w:val="004C657E"/>
    <w:rsid w:val="004C68F4"/>
    <w:rsid w:val="004C6D37"/>
    <w:rsid w:val="004C76EE"/>
    <w:rsid w:val="004D5F2D"/>
    <w:rsid w:val="004D6373"/>
    <w:rsid w:val="004D6CFA"/>
    <w:rsid w:val="004D71C3"/>
    <w:rsid w:val="004E0779"/>
    <w:rsid w:val="004E177A"/>
    <w:rsid w:val="004E2130"/>
    <w:rsid w:val="004E4BAC"/>
    <w:rsid w:val="004E5B75"/>
    <w:rsid w:val="004E5D5B"/>
    <w:rsid w:val="004E6FA5"/>
    <w:rsid w:val="004F191C"/>
    <w:rsid w:val="004F3E99"/>
    <w:rsid w:val="004F6A50"/>
    <w:rsid w:val="005000E9"/>
    <w:rsid w:val="0050012F"/>
    <w:rsid w:val="005023BA"/>
    <w:rsid w:val="00502968"/>
    <w:rsid w:val="005035CE"/>
    <w:rsid w:val="00503653"/>
    <w:rsid w:val="00503A8D"/>
    <w:rsid w:val="00505039"/>
    <w:rsid w:val="0050653E"/>
    <w:rsid w:val="0050780C"/>
    <w:rsid w:val="00510BC0"/>
    <w:rsid w:val="00510F71"/>
    <w:rsid w:val="00511257"/>
    <w:rsid w:val="0051165B"/>
    <w:rsid w:val="00511833"/>
    <w:rsid w:val="00513A9E"/>
    <w:rsid w:val="00515927"/>
    <w:rsid w:val="005166B8"/>
    <w:rsid w:val="005168E4"/>
    <w:rsid w:val="00521EB6"/>
    <w:rsid w:val="0052342F"/>
    <w:rsid w:val="0052349B"/>
    <w:rsid w:val="00524FEE"/>
    <w:rsid w:val="005258B5"/>
    <w:rsid w:val="00526B78"/>
    <w:rsid w:val="005276DD"/>
    <w:rsid w:val="005306D1"/>
    <w:rsid w:val="00532065"/>
    <w:rsid w:val="00532806"/>
    <w:rsid w:val="00536393"/>
    <w:rsid w:val="005423D0"/>
    <w:rsid w:val="00543AF4"/>
    <w:rsid w:val="00547DEC"/>
    <w:rsid w:val="00547E97"/>
    <w:rsid w:val="005508C7"/>
    <w:rsid w:val="00551F6D"/>
    <w:rsid w:val="00552411"/>
    <w:rsid w:val="005530F8"/>
    <w:rsid w:val="00553346"/>
    <w:rsid w:val="00553857"/>
    <w:rsid w:val="00553CF6"/>
    <w:rsid w:val="00553FF5"/>
    <w:rsid w:val="005577DB"/>
    <w:rsid w:val="0056599C"/>
    <w:rsid w:val="00566A7B"/>
    <w:rsid w:val="00571AE1"/>
    <w:rsid w:val="00571BDD"/>
    <w:rsid w:val="00573425"/>
    <w:rsid w:val="005743D7"/>
    <w:rsid w:val="00575F39"/>
    <w:rsid w:val="005775B5"/>
    <w:rsid w:val="00577939"/>
    <w:rsid w:val="00581AB0"/>
    <w:rsid w:val="00582872"/>
    <w:rsid w:val="00582DD3"/>
    <w:rsid w:val="00583AA6"/>
    <w:rsid w:val="005846A8"/>
    <w:rsid w:val="0058475C"/>
    <w:rsid w:val="00584B94"/>
    <w:rsid w:val="005854E0"/>
    <w:rsid w:val="00585B15"/>
    <w:rsid w:val="00590EC9"/>
    <w:rsid w:val="00591CF0"/>
    <w:rsid w:val="00591D2D"/>
    <w:rsid w:val="005930A3"/>
    <w:rsid w:val="0059388C"/>
    <w:rsid w:val="00595DAB"/>
    <w:rsid w:val="005972B2"/>
    <w:rsid w:val="00597CDA"/>
    <w:rsid w:val="00597EC2"/>
    <w:rsid w:val="005A0092"/>
    <w:rsid w:val="005A1B8F"/>
    <w:rsid w:val="005A2EFA"/>
    <w:rsid w:val="005A5393"/>
    <w:rsid w:val="005A654B"/>
    <w:rsid w:val="005A735D"/>
    <w:rsid w:val="005A75F0"/>
    <w:rsid w:val="005B0997"/>
    <w:rsid w:val="005B1A96"/>
    <w:rsid w:val="005B45E4"/>
    <w:rsid w:val="005B6461"/>
    <w:rsid w:val="005B6912"/>
    <w:rsid w:val="005B7439"/>
    <w:rsid w:val="005C0824"/>
    <w:rsid w:val="005C0C2D"/>
    <w:rsid w:val="005C0C74"/>
    <w:rsid w:val="005C4798"/>
    <w:rsid w:val="005D0C13"/>
    <w:rsid w:val="005D2015"/>
    <w:rsid w:val="005D274F"/>
    <w:rsid w:val="005D2C9D"/>
    <w:rsid w:val="005D5210"/>
    <w:rsid w:val="005D7DFE"/>
    <w:rsid w:val="005E0088"/>
    <w:rsid w:val="005E0888"/>
    <w:rsid w:val="005E124F"/>
    <w:rsid w:val="005E2A3C"/>
    <w:rsid w:val="005E4442"/>
    <w:rsid w:val="005E5EA5"/>
    <w:rsid w:val="005E68C9"/>
    <w:rsid w:val="005E68CA"/>
    <w:rsid w:val="005E6FA3"/>
    <w:rsid w:val="005E77A5"/>
    <w:rsid w:val="005F0A3C"/>
    <w:rsid w:val="005F1A22"/>
    <w:rsid w:val="005F1BBB"/>
    <w:rsid w:val="005F296C"/>
    <w:rsid w:val="005F2E60"/>
    <w:rsid w:val="005F36F7"/>
    <w:rsid w:val="005F3DEE"/>
    <w:rsid w:val="005F3E3A"/>
    <w:rsid w:val="00600253"/>
    <w:rsid w:val="0060073C"/>
    <w:rsid w:val="00601746"/>
    <w:rsid w:val="006022A0"/>
    <w:rsid w:val="006029B1"/>
    <w:rsid w:val="006031B4"/>
    <w:rsid w:val="00603ABA"/>
    <w:rsid w:val="006049DC"/>
    <w:rsid w:val="00606406"/>
    <w:rsid w:val="00607574"/>
    <w:rsid w:val="00607C98"/>
    <w:rsid w:val="00611075"/>
    <w:rsid w:val="00611538"/>
    <w:rsid w:val="00611DC2"/>
    <w:rsid w:val="006127B6"/>
    <w:rsid w:val="00613C7D"/>
    <w:rsid w:val="006148DC"/>
    <w:rsid w:val="00614C36"/>
    <w:rsid w:val="00615C26"/>
    <w:rsid w:val="00615E9B"/>
    <w:rsid w:val="00616BDF"/>
    <w:rsid w:val="006173AF"/>
    <w:rsid w:val="00617DBD"/>
    <w:rsid w:val="00621B3A"/>
    <w:rsid w:val="006229AA"/>
    <w:rsid w:val="00622D64"/>
    <w:rsid w:val="0062426C"/>
    <w:rsid w:val="00626B4B"/>
    <w:rsid w:val="006273F3"/>
    <w:rsid w:val="00627B88"/>
    <w:rsid w:val="0063176C"/>
    <w:rsid w:val="006322F4"/>
    <w:rsid w:val="00633ABE"/>
    <w:rsid w:val="006347E6"/>
    <w:rsid w:val="0063570A"/>
    <w:rsid w:val="00635B1A"/>
    <w:rsid w:val="0064167D"/>
    <w:rsid w:val="00641B76"/>
    <w:rsid w:val="00642894"/>
    <w:rsid w:val="00642C72"/>
    <w:rsid w:val="0064455E"/>
    <w:rsid w:val="0064467A"/>
    <w:rsid w:val="00644B1F"/>
    <w:rsid w:val="0064626B"/>
    <w:rsid w:val="00647A23"/>
    <w:rsid w:val="006509EB"/>
    <w:rsid w:val="006512FC"/>
    <w:rsid w:val="00654015"/>
    <w:rsid w:val="00654046"/>
    <w:rsid w:val="0065414D"/>
    <w:rsid w:val="0065548F"/>
    <w:rsid w:val="006603D6"/>
    <w:rsid w:val="006604AE"/>
    <w:rsid w:val="00662392"/>
    <w:rsid w:val="00662D9F"/>
    <w:rsid w:val="00665F88"/>
    <w:rsid w:val="00666572"/>
    <w:rsid w:val="006665AF"/>
    <w:rsid w:val="00666C1C"/>
    <w:rsid w:val="00666C7E"/>
    <w:rsid w:val="00666E97"/>
    <w:rsid w:val="00667101"/>
    <w:rsid w:val="00667DFF"/>
    <w:rsid w:val="006708A9"/>
    <w:rsid w:val="0067191A"/>
    <w:rsid w:val="00671ACA"/>
    <w:rsid w:val="00671B31"/>
    <w:rsid w:val="006738C4"/>
    <w:rsid w:val="006743A0"/>
    <w:rsid w:val="006743E4"/>
    <w:rsid w:val="00674CA7"/>
    <w:rsid w:val="00674F91"/>
    <w:rsid w:val="00676932"/>
    <w:rsid w:val="006778BF"/>
    <w:rsid w:val="006829FD"/>
    <w:rsid w:val="006849CB"/>
    <w:rsid w:val="00685F98"/>
    <w:rsid w:val="006862B0"/>
    <w:rsid w:val="00686727"/>
    <w:rsid w:val="00692086"/>
    <w:rsid w:val="00692B1C"/>
    <w:rsid w:val="00693C47"/>
    <w:rsid w:val="006942F1"/>
    <w:rsid w:val="006949FC"/>
    <w:rsid w:val="00696FFD"/>
    <w:rsid w:val="006A075D"/>
    <w:rsid w:val="006A1231"/>
    <w:rsid w:val="006A4E48"/>
    <w:rsid w:val="006A5A57"/>
    <w:rsid w:val="006A6D14"/>
    <w:rsid w:val="006A7676"/>
    <w:rsid w:val="006A7A5F"/>
    <w:rsid w:val="006A7EC4"/>
    <w:rsid w:val="006B34F9"/>
    <w:rsid w:val="006B5202"/>
    <w:rsid w:val="006B7E96"/>
    <w:rsid w:val="006C5BDC"/>
    <w:rsid w:val="006C63C1"/>
    <w:rsid w:val="006C75B1"/>
    <w:rsid w:val="006C7BFA"/>
    <w:rsid w:val="006D3B07"/>
    <w:rsid w:val="006D5323"/>
    <w:rsid w:val="006D5468"/>
    <w:rsid w:val="006D5F38"/>
    <w:rsid w:val="006D6F50"/>
    <w:rsid w:val="006D73F2"/>
    <w:rsid w:val="006D7E48"/>
    <w:rsid w:val="006E5B81"/>
    <w:rsid w:val="006E7D58"/>
    <w:rsid w:val="006F0F83"/>
    <w:rsid w:val="006F11BD"/>
    <w:rsid w:val="006F1407"/>
    <w:rsid w:val="006F4599"/>
    <w:rsid w:val="006F4D8F"/>
    <w:rsid w:val="006F67DE"/>
    <w:rsid w:val="006F6D50"/>
    <w:rsid w:val="006F73D3"/>
    <w:rsid w:val="007017E9"/>
    <w:rsid w:val="00701D68"/>
    <w:rsid w:val="007044D5"/>
    <w:rsid w:val="00704CB0"/>
    <w:rsid w:val="00705CFF"/>
    <w:rsid w:val="00706267"/>
    <w:rsid w:val="007064BB"/>
    <w:rsid w:val="00711F14"/>
    <w:rsid w:val="007126B8"/>
    <w:rsid w:val="00712E67"/>
    <w:rsid w:val="00714339"/>
    <w:rsid w:val="007164A8"/>
    <w:rsid w:val="00716815"/>
    <w:rsid w:val="00720D5C"/>
    <w:rsid w:val="0072385C"/>
    <w:rsid w:val="00723C5B"/>
    <w:rsid w:val="00724771"/>
    <w:rsid w:val="00724863"/>
    <w:rsid w:val="00726690"/>
    <w:rsid w:val="00731BE1"/>
    <w:rsid w:val="00732C0C"/>
    <w:rsid w:val="00734052"/>
    <w:rsid w:val="00734798"/>
    <w:rsid w:val="00734DA4"/>
    <w:rsid w:val="00734F6E"/>
    <w:rsid w:val="0073633C"/>
    <w:rsid w:val="007363E4"/>
    <w:rsid w:val="00736CB1"/>
    <w:rsid w:val="007376BD"/>
    <w:rsid w:val="007406A4"/>
    <w:rsid w:val="0074218B"/>
    <w:rsid w:val="0074261C"/>
    <w:rsid w:val="00742B35"/>
    <w:rsid w:val="00743D83"/>
    <w:rsid w:val="00744784"/>
    <w:rsid w:val="00744A7C"/>
    <w:rsid w:val="00745B35"/>
    <w:rsid w:val="00747653"/>
    <w:rsid w:val="007517D7"/>
    <w:rsid w:val="007526F6"/>
    <w:rsid w:val="00752881"/>
    <w:rsid w:val="00754BD0"/>
    <w:rsid w:val="00755148"/>
    <w:rsid w:val="00756ABD"/>
    <w:rsid w:val="00757FB1"/>
    <w:rsid w:val="00760DD2"/>
    <w:rsid w:val="0076305F"/>
    <w:rsid w:val="00763DDF"/>
    <w:rsid w:val="0076429E"/>
    <w:rsid w:val="007702B8"/>
    <w:rsid w:val="00771B2A"/>
    <w:rsid w:val="00773DAF"/>
    <w:rsid w:val="00775FC8"/>
    <w:rsid w:val="00776A46"/>
    <w:rsid w:val="00776EF7"/>
    <w:rsid w:val="007772F9"/>
    <w:rsid w:val="00777BA4"/>
    <w:rsid w:val="00780293"/>
    <w:rsid w:val="0078168D"/>
    <w:rsid w:val="00782E0D"/>
    <w:rsid w:val="007848E5"/>
    <w:rsid w:val="007920D6"/>
    <w:rsid w:val="007944D9"/>
    <w:rsid w:val="00794D55"/>
    <w:rsid w:val="007958B5"/>
    <w:rsid w:val="00795E72"/>
    <w:rsid w:val="00796D93"/>
    <w:rsid w:val="007A0DAF"/>
    <w:rsid w:val="007A25CB"/>
    <w:rsid w:val="007A29E1"/>
    <w:rsid w:val="007A314A"/>
    <w:rsid w:val="007A42FB"/>
    <w:rsid w:val="007A692E"/>
    <w:rsid w:val="007A6BB0"/>
    <w:rsid w:val="007A76A1"/>
    <w:rsid w:val="007B16A6"/>
    <w:rsid w:val="007B2CAB"/>
    <w:rsid w:val="007B3BDD"/>
    <w:rsid w:val="007B72A3"/>
    <w:rsid w:val="007C022B"/>
    <w:rsid w:val="007C05DA"/>
    <w:rsid w:val="007C0C42"/>
    <w:rsid w:val="007C1BC8"/>
    <w:rsid w:val="007C20BB"/>
    <w:rsid w:val="007C43C1"/>
    <w:rsid w:val="007C4869"/>
    <w:rsid w:val="007C5E32"/>
    <w:rsid w:val="007D02DB"/>
    <w:rsid w:val="007D0697"/>
    <w:rsid w:val="007D1593"/>
    <w:rsid w:val="007D5B34"/>
    <w:rsid w:val="007D79D9"/>
    <w:rsid w:val="007E0CC8"/>
    <w:rsid w:val="007E1B3B"/>
    <w:rsid w:val="007E1C87"/>
    <w:rsid w:val="007E40E7"/>
    <w:rsid w:val="007E522C"/>
    <w:rsid w:val="007E653F"/>
    <w:rsid w:val="007F03EA"/>
    <w:rsid w:val="007F1DB9"/>
    <w:rsid w:val="007F2238"/>
    <w:rsid w:val="007F34AC"/>
    <w:rsid w:val="007F41E8"/>
    <w:rsid w:val="007F6283"/>
    <w:rsid w:val="007F6C66"/>
    <w:rsid w:val="007F71C6"/>
    <w:rsid w:val="00800167"/>
    <w:rsid w:val="00800DCE"/>
    <w:rsid w:val="00801EAA"/>
    <w:rsid w:val="00802D44"/>
    <w:rsid w:val="008051D0"/>
    <w:rsid w:val="00806B99"/>
    <w:rsid w:val="00806CD3"/>
    <w:rsid w:val="00810E5F"/>
    <w:rsid w:val="00812785"/>
    <w:rsid w:val="00813290"/>
    <w:rsid w:val="0081390E"/>
    <w:rsid w:val="00814BA7"/>
    <w:rsid w:val="00814E49"/>
    <w:rsid w:val="00815262"/>
    <w:rsid w:val="0081719A"/>
    <w:rsid w:val="008177CB"/>
    <w:rsid w:val="00820070"/>
    <w:rsid w:val="0082026D"/>
    <w:rsid w:val="008217AC"/>
    <w:rsid w:val="00824AF5"/>
    <w:rsid w:val="00825D01"/>
    <w:rsid w:val="00827991"/>
    <w:rsid w:val="00827B64"/>
    <w:rsid w:val="00831463"/>
    <w:rsid w:val="00831D0B"/>
    <w:rsid w:val="00834026"/>
    <w:rsid w:val="008355F1"/>
    <w:rsid w:val="00835D58"/>
    <w:rsid w:val="00841989"/>
    <w:rsid w:val="0084230B"/>
    <w:rsid w:val="00845185"/>
    <w:rsid w:val="00845A43"/>
    <w:rsid w:val="00847190"/>
    <w:rsid w:val="00850615"/>
    <w:rsid w:val="00853478"/>
    <w:rsid w:val="008544B1"/>
    <w:rsid w:val="008571BE"/>
    <w:rsid w:val="0085766D"/>
    <w:rsid w:val="00861C98"/>
    <w:rsid w:val="00863C70"/>
    <w:rsid w:val="00864B09"/>
    <w:rsid w:val="00865094"/>
    <w:rsid w:val="00866EFE"/>
    <w:rsid w:val="00867A43"/>
    <w:rsid w:val="00870073"/>
    <w:rsid w:val="008707CD"/>
    <w:rsid w:val="00871983"/>
    <w:rsid w:val="00872147"/>
    <w:rsid w:val="00873684"/>
    <w:rsid w:val="00880C24"/>
    <w:rsid w:val="008823FB"/>
    <w:rsid w:val="008830DD"/>
    <w:rsid w:val="00884857"/>
    <w:rsid w:val="0088640D"/>
    <w:rsid w:val="00887C63"/>
    <w:rsid w:val="00887CBD"/>
    <w:rsid w:val="0089478F"/>
    <w:rsid w:val="00894B40"/>
    <w:rsid w:val="008950E0"/>
    <w:rsid w:val="00895BC3"/>
    <w:rsid w:val="0089701C"/>
    <w:rsid w:val="008A1D90"/>
    <w:rsid w:val="008A1E0E"/>
    <w:rsid w:val="008A1EC5"/>
    <w:rsid w:val="008A77DA"/>
    <w:rsid w:val="008B1076"/>
    <w:rsid w:val="008B2AFE"/>
    <w:rsid w:val="008B3853"/>
    <w:rsid w:val="008B3B77"/>
    <w:rsid w:val="008B3F3D"/>
    <w:rsid w:val="008B4A5A"/>
    <w:rsid w:val="008B4BC5"/>
    <w:rsid w:val="008B59F3"/>
    <w:rsid w:val="008B6824"/>
    <w:rsid w:val="008B707C"/>
    <w:rsid w:val="008B70FC"/>
    <w:rsid w:val="008C10D4"/>
    <w:rsid w:val="008C155C"/>
    <w:rsid w:val="008C2A71"/>
    <w:rsid w:val="008C7F8B"/>
    <w:rsid w:val="008D05A2"/>
    <w:rsid w:val="008D0710"/>
    <w:rsid w:val="008D356F"/>
    <w:rsid w:val="008D49C9"/>
    <w:rsid w:val="008D4CE3"/>
    <w:rsid w:val="008D56DB"/>
    <w:rsid w:val="008D784A"/>
    <w:rsid w:val="008E0BEC"/>
    <w:rsid w:val="008E35AE"/>
    <w:rsid w:val="008E3B1C"/>
    <w:rsid w:val="008E3CF4"/>
    <w:rsid w:val="008E3EAC"/>
    <w:rsid w:val="008E634F"/>
    <w:rsid w:val="008E66A1"/>
    <w:rsid w:val="008E6DF6"/>
    <w:rsid w:val="008E7B67"/>
    <w:rsid w:val="008E7CA0"/>
    <w:rsid w:val="008F0706"/>
    <w:rsid w:val="008F29EA"/>
    <w:rsid w:val="0090184A"/>
    <w:rsid w:val="00901935"/>
    <w:rsid w:val="00903DAE"/>
    <w:rsid w:val="0090451F"/>
    <w:rsid w:val="00904E5E"/>
    <w:rsid w:val="00905BAE"/>
    <w:rsid w:val="00910ADF"/>
    <w:rsid w:val="009163A3"/>
    <w:rsid w:val="00921F3F"/>
    <w:rsid w:val="00923035"/>
    <w:rsid w:val="0092347D"/>
    <w:rsid w:val="00923FEE"/>
    <w:rsid w:val="00924487"/>
    <w:rsid w:val="00924A01"/>
    <w:rsid w:val="009268E9"/>
    <w:rsid w:val="009272D1"/>
    <w:rsid w:val="0092733A"/>
    <w:rsid w:val="009309CA"/>
    <w:rsid w:val="00931682"/>
    <w:rsid w:val="0093188C"/>
    <w:rsid w:val="00935ED8"/>
    <w:rsid w:val="00937846"/>
    <w:rsid w:val="0094108F"/>
    <w:rsid w:val="00943373"/>
    <w:rsid w:val="00943AEF"/>
    <w:rsid w:val="00943F87"/>
    <w:rsid w:val="0094509C"/>
    <w:rsid w:val="00946655"/>
    <w:rsid w:val="00946957"/>
    <w:rsid w:val="00946A38"/>
    <w:rsid w:val="00946AA0"/>
    <w:rsid w:val="00946D6F"/>
    <w:rsid w:val="0095062C"/>
    <w:rsid w:val="00951AE2"/>
    <w:rsid w:val="00951D97"/>
    <w:rsid w:val="009526B3"/>
    <w:rsid w:val="00952804"/>
    <w:rsid w:val="009528A0"/>
    <w:rsid w:val="0095294A"/>
    <w:rsid w:val="00953392"/>
    <w:rsid w:val="00953478"/>
    <w:rsid w:val="00953B86"/>
    <w:rsid w:val="00953EE8"/>
    <w:rsid w:val="00956472"/>
    <w:rsid w:val="0095652B"/>
    <w:rsid w:val="0095694C"/>
    <w:rsid w:val="00956A78"/>
    <w:rsid w:val="009572A7"/>
    <w:rsid w:val="00961D48"/>
    <w:rsid w:val="00962251"/>
    <w:rsid w:val="00963296"/>
    <w:rsid w:val="00963904"/>
    <w:rsid w:val="0096411B"/>
    <w:rsid w:val="00964781"/>
    <w:rsid w:val="00964B08"/>
    <w:rsid w:val="0096553C"/>
    <w:rsid w:val="009666CB"/>
    <w:rsid w:val="00971028"/>
    <w:rsid w:val="009713E1"/>
    <w:rsid w:val="009720D7"/>
    <w:rsid w:val="00972B2F"/>
    <w:rsid w:val="009746BE"/>
    <w:rsid w:val="00974E12"/>
    <w:rsid w:val="0097555B"/>
    <w:rsid w:val="00975ACB"/>
    <w:rsid w:val="009775B2"/>
    <w:rsid w:val="00977C0E"/>
    <w:rsid w:val="00980A99"/>
    <w:rsid w:val="009863B7"/>
    <w:rsid w:val="00992EF8"/>
    <w:rsid w:val="00995C54"/>
    <w:rsid w:val="009972A8"/>
    <w:rsid w:val="009A002D"/>
    <w:rsid w:val="009A0484"/>
    <w:rsid w:val="009A0602"/>
    <w:rsid w:val="009A07FD"/>
    <w:rsid w:val="009A2F8C"/>
    <w:rsid w:val="009A5DB3"/>
    <w:rsid w:val="009A7932"/>
    <w:rsid w:val="009A7A15"/>
    <w:rsid w:val="009B26EA"/>
    <w:rsid w:val="009B35E2"/>
    <w:rsid w:val="009B741D"/>
    <w:rsid w:val="009B74F6"/>
    <w:rsid w:val="009C101C"/>
    <w:rsid w:val="009C14DF"/>
    <w:rsid w:val="009C19D8"/>
    <w:rsid w:val="009C1C71"/>
    <w:rsid w:val="009C7959"/>
    <w:rsid w:val="009D0E6D"/>
    <w:rsid w:val="009D1B89"/>
    <w:rsid w:val="009D2C8A"/>
    <w:rsid w:val="009D2F0F"/>
    <w:rsid w:val="009D7401"/>
    <w:rsid w:val="009D7842"/>
    <w:rsid w:val="009D7A87"/>
    <w:rsid w:val="009E0D91"/>
    <w:rsid w:val="009E1521"/>
    <w:rsid w:val="009E3007"/>
    <w:rsid w:val="009E399F"/>
    <w:rsid w:val="009E5A4E"/>
    <w:rsid w:val="009E6593"/>
    <w:rsid w:val="009E7F79"/>
    <w:rsid w:val="009F208D"/>
    <w:rsid w:val="009F26FC"/>
    <w:rsid w:val="009F32B6"/>
    <w:rsid w:val="009F3C2A"/>
    <w:rsid w:val="009F3D91"/>
    <w:rsid w:val="009F4950"/>
    <w:rsid w:val="009F4C65"/>
    <w:rsid w:val="009F4D04"/>
    <w:rsid w:val="009F5586"/>
    <w:rsid w:val="009F559E"/>
    <w:rsid w:val="009F585D"/>
    <w:rsid w:val="009F6584"/>
    <w:rsid w:val="009F6D7C"/>
    <w:rsid w:val="009F735D"/>
    <w:rsid w:val="00A0305D"/>
    <w:rsid w:val="00A05407"/>
    <w:rsid w:val="00A05C6A"/>
    <w:rsid w:val="00A07E6B"/>
    <w:rsid w:val="00A10E45"/>
    <w:rsid w:val="00A111AA"/>
    <w:rsid w:val="00A11555"/>
    <w:rsid w:val="00A11E50"/>
    <w:rsid w:val="00A128A4"/>
    <w:rsid w:val="00A131E4"/>
    <w:rsid w:val="00A13E39"/>
    <w:rsid w:val="00A14063"/>
    <w:rsid w:val="00A167F9"/>
    <w:rsid w:val="00A205F1"/>
    <w:rsid w:val="00A21532"/>
    <w:rsid w:val="00A253CB"/>
    <w:rsid w:val="00A25677"/>
    <w:rsid w:val="00A26B54"/>
    <w:rsid w:val="00A30D66"/>
    <w:rsid w:val="00A317FE"/>
    <w:rsid w:val="00A35111"/>
    <w:rsid w:val="00A3540D"/>
    <w:rsid w:val="00A3580F"/>
    <w:rsid w:val="00A373EC"/>
    <w:rsid w:val="00A37FFE"/>
    <w:rsid w:val="00A403F9"/>
    <w:rsid w:val="00A411C9"/>
    <w:rsid w:val="00A43210"/>
    <w:rsid w:val="00A4352C"/>
    <w:rsid w:val="00A43755"/>
    <w:rsid w:val="00A44164"/>
    <w:rsid w:val="00A443F6"/>
    <w:rsid w:val="00A447F0"/>
    <w:rsid w:val="00A5082E"/>
    <w:rsid w:val="00A52165"/>
    <w:rsid w:val="00A54665"/>
    <w:rsid w:val="00A54F56"/>
    <w:rsid w:val="00A57D09"/>
    <w:rsid w:val="00A61FDC"/>
    <w:rsid w:val="00A62E8B"/>
    <w:rsid w:val="00A630FE"/>
    <w:rsid w:val="00A70473"/>
    <w:rsid w:val="00A704B7"/>
    <w:rsid w:val="00A70E2D"/>
    <w:rsid w:val="00A71A3D"/>
    <w:rsid w:val="00A71E94"/>
    <w:rsid w:val="00A7273B"/>
    <w:rsid w:val="00A76A46"/>
    <w:rsid w:val="00A77E18"/>
    <w:rsid w:val="00A80D73"/>
    <w:rsid w:val="00A80E2A"/>
    <w:rsid w:val="00A825BA"/>
    <w:rsid w:val="00A827A2"/>
    <w:rsid w:val="00A8307E"/>
    <w:rsid w:val="00A833B2"/>
    <w:rsid w:val="00A83E57"/>
    <w:rsid w:val="00A84079"/>
    <w:rsid w:val="00A85059"/>
    <w:rsid w:val="00A85B5E"/>
    <w:rsid w:val="00A86637"/>
    <w:rsid w:val="00A87956"/>
    <w:rsid w:val="00A87DEF"/>
    <w:rsid w:val="00A90081"/>
    <w:rsid w:val="00A93B6A"/>
    <w:rsid w:val="00A96DA2"/>
    <w:rsid w:val="00AA048C"/>
    <w:rsid w:val="00AA3FB4"/>
    <w:rsid w:val="00AA54D4"/>
    <w:rsid w:val="00AA60B5"/>
    <w:rsid w:val="00AA726B"/>
    <w:rsid w:val="00AB12B7"/>
    <w:rsid w:val="00AB298C"/>
    <w:rsid w:val="00AB4284"/>
    <w:rsid w:val="00AB4E80"/>
    <w:rsid w:val="00AB59E0"/>
    <w:rsid w:val="00AB5E00"/>
    <w:rsid w:val="00AC03B7"/>
    <w:rsid w:val="00AC1214"/>
    <w:rsid w:val="00AC3589"/>
    <w:rsid w:val="00AC3C24"/>
    <w:rsid w:val="00AC5C2B"/>
    <w:rsid w:val="00AC6EB1"/>
    <w:rsid w:val="00AC7DB4"/>
    <w:rsid w:val="00AD4214"/>
    <w:rsid w:val="00AD47B7"/>
    <w:rsid w:val="00AE0539"/>
    <w:rsid w:val="00AE0CED"/>
    <w:rsid w:val="00AE2A89"/>
    <w:rsid w:val="00AE4EEE"/>
    <w:rsid w:val="00AE58FD"/>
    <w:rsid w:val="00AE6341"/>
    <w:rsid w:val="00AE6EB3"/>
    <w:rsid w:val="00AF030A"/>
    <w:rsid w:val="00AF115A"/>
    <w:rsid w:val="00AF1D5C"/>
    <w:rsid w:val="00AF3FBA"/>
    <w:rsid w:val="00AF65A8"/>
    <w:rsid w:val="00AF677F"/>
    <w:rsid w:val="00AF7F65"/>
    <w:rsid w:val="00B0038A"/>
    <w:rsid w:val="00B01244"/>
    <w:rsid w:val="00B01A0A"/>
    <w:rsid w:val="00B033A5"/>
    <w:rsid w:val="00B04527"/>
    <w:rsid w:val="00B05B6C"/>
    <w:rsid w:val="00B10A86"/>
    <w:rsid w:val="00B11C67"/>
    <w:rsid w:val="00B12870"/>
    <w:rsid w:val="00B12A42"/>
    <w:rsid w:val="00B13D15"/>
    <w:rsid w:val="00B148BC"/>
    <w:rsid w:val="00B15CCC"/>
    <w:rsid w:val="00B16459"/>
    <w:rsid w:val="00B16B4E"/>
    <w:rsid w:val="00B204F9"/>
    <w:rsid w:val="00B2226C"/>
    <w:rsid w:val="00B229ED"/>
    <w:rsid w:val="00B23956"/>
    <w:rsid w:val="00B245DE"/>
    <w:rsid w:val="00B24B1F"/>
    <w:rsid w:val="00B2553B"/>
    <w:rsid w:val="00B256FB"/>
    <w:rsid w:val="00B27707"/>
    <w:rsid w:val="00B31C5D"/>
    <w:rsid w:val="00B3325E"/>
    <w:rsid w:val="00B33A26"/>
    <w:rsid w:val="00B3445A"/>
    <w:rsid w:val="00B4100A"/>
    <w:rsid w:val="00B42300"/>
    <w:rsid w:val="00B42834"/>
    <w:rsid w:val="00B4365D"/>
    <w:rsid w:val="00B457AE"/>
    <w:rsid w:val="00B4587F"/>
    <w:rsid w:val="00B47CEE"/>
    <w:rsid w:val="00B500FF"/>
    <w:rsid w:val="00B517F3"/>
    <w:rsid w:val="00B52C1B"/>
    <w:rsid w:val="00B53E8B"/>
    <w:rsid w:val="00B54528"/>
    <w:rsid w:val="00B556CB"/>
    <w:rsid w:val="00B55FE2"/>
    <w:rsid w:val="00B610BD"/>
    <w:rsid w:val="00B61F83"/>
    <w:rsid w:val="00B62518"/>
    <w:rsid w:val="00B64258"/>
    <w:rsid w:val="00B64363"/>
    <w:rsid w:val="00B675CE"/>
    <w:rsid w:val="00B701AE"/>
    <w:rsid w:val="00B70634"/>
    <w:rsid w:val="00B708A8"/>
    <w:rsid w:val="00B71A7E"/>
    <w:rsid w:val="00B71FB1"/>
    <w:rsid w:val="00B73CAA"/>
    <w:rsid w:val="00B752CE"/>
    <w:rsid w:val="00B75592"/>
    <w:rsid w:val="00B764B4"/>
    <w:rsid w:val="00B76C6B"/>
    <w:rsid w:val="00B76C77"/>
    <w:rsid w:val="00B77592"/>
    <w:rsid w:val="00B77B30"/>
    <w:rsid w:val="00B819D1"/>
    <w:rsid w:val="00B828E6"/>
    <w:rsid w:val="00B83E32"/>
    <w:rsid w:val="00B84CB4"/>
    <w:rsid w:val="00B84E92"/>
    <w:rsid w:val="00B852C9"/>
    <w:rsid w:val="00B85969"/>
    <w:rsid w:val="00B85E0B"/>
    <w:rsid w:val="00B878F0"/>
    <w:rsid w:val="00B914D9"/>
    <w:rsid w:val="00B939D0"/>
    <w:rsid w:val="00B94282"/>
    <w:rsid w:val="00B94FDF"/>
    <w:rsid w:val="00B963CF"/>
    <w:rsid w:val="00B96CAE"/>
    <w:rsid w:val="00BA16E4"/>
    <w:rsid w:val="00BA3284"/>
    <w:rsid w:val="00BA4373"/>
    <w:rsid w:val="00BA783C"/>
    <w:rsid w:val="00BB0948"/>
    <w:rsid w:val="00BB105F"/>
    <w:rsid w:val="00BB2119"/>
    <w:rsid w:val="00BB4D28"/>
    <w:rsid w:val="00BB57A7"/>
    <w:rsid w:val="00BB5E37"/>
    <w:rsid w:val="00BC079F"/>
    <w:rsid w:val="00BC3923"/>
    <w:rsid w:val="00BC60D4"/>
    <w:rsid w:val="00BD00F5"/>
    <w:rsid w:val="00BD14A7"/>
    <w:rsid w:val="00BD1FC9"/>
    <w:rsid w:val="00BD3F95"/>
    <w:rsid w:val="00BD413B"/>
    <w:rsid w:val="00BD4590"/>
    <w:rsid w:val="00BD5B2D"/>
    <w:rsid w:val="00BD6AEC"/>
    <w:rsid w:val="00BE1BD9"/>
    <w:rsid w:val="00BE289B"/>
    <w:rsid w:val="00BE2EAD"/>
    <w:rsid w:val="00BE49AA"/>
    <w:rsid w:val="00BE7E98"/>
    <w:rsid w:val="00BF1951"/>
    <w:rsid w:val="00BF2503"/>
    <w:rsid w:val="00BF2A9E"/>
    <w:rsid w:val="00BF30E1"/>
    <w:rsid w:val="00BF3555"/>
    <w:rsid w:val="00BF45D2"/>
    <w:rsid w:val="00C01FE8"/>
    <w:rsid w:val="00C0353C"/>
    <w:rsid w:val="00C04946"/>
    <w:rsid w:val="00C0538B"/>
    <w:rsid w:val="00C0593C"/>
    <w:rsid w:val="00C06091"/>
    <w:rsid w:val="00C06303"/>
    <w:rsid w:val="00C06495"/>
    <w:rsid w:val="00C068BE"/>
    <w:rsid w:val="00C07086"/>
    <w:rsid w:val="00C074EA"/>
    <w:rsid w:val="00C13E21"/>
    <w:rsid w:val="00C14348"/>
    <w:rsid w:val="00C14DDC"/>
    <w:rsid w:val="00C157E9"/>
    <w:rsid w:val="00C160AB"/>
    <w:rsid w:val="00C16B13"/>
    <w:rsid w:val="00C16DF8"/>
    <w:rsid w:val="00C22053"/>
    <w:rsid w:val="00C22CF2"/>
    <w:rsid w:val="00C25C67"/>
    <w:rsid w:val="00C25E4D"/>
    <w:rsid w:val="00C26238"/>
    <w:rsid w:val="00C26395"/>
    <w:rsid w:val="00C27DB5"/>
    <w:rsid w:val="00C301F0"/>
    <w:rsid w:val="00C3045B"/>
    <w:rsid w:val="00C32A0F"/>
    <w:rsid w:val="00C377A8"/>
    <w:rsid w:val="00C40D7A"/>
    <w:rsid w:val="00C4178D"/>
    <w:rsid w:val="00C44B9B"/>
    <w:rsid w:val="00C46092"/>
    <w:rsid w:val="00C47843"/>
    <w:rsid w:val="00C478C9"/>
    <w:rsid w:val="00C47C39"/>
    <w:rsid w:val="00C50C60"/>
    <w:rsid w:val="00C5426D"/>
    <w:rsid w:val="00C5717E"/>
    <w:rsid w:val="00C6138A"/>
    <w:rsid w:val="00C61CDB"/>
    <w:rsid w:val="00C61DE7"/>
    <w:rsid w:val="00C61F6F"/>
    <w:rsid w:val="00C63B86"/>
    <w:rsid w:val="00C63BDB"/>
    <w:rsid w:val="00C64AD0"/>
    <w:rsid w:val="00C65610"/>
    <w:rsid w:val="00C66FF4"/>
    <w:rsid w:val="00C71817"/>
    <w:rsid w:val="00C71CE2"/>
    <w:rsid w:val="00C73D25"/>
    <w:rsid w:val="00C75460"/>
    <w:rsid w:val="00C7601B"/>
    <w:rsid w:val="00C772C9"/>
    <w:rsid w:val="00C773D6"/>
    <w:rsid w:val="00C77C66"/>
    <w:rsid w:val="00C8051C"/>
    <w:rsid w:val="00C805B3"/>
    <w:rsid w:val="00C81727"/>
    <w:rsid w:val="00C8386A"/>
    <w:rsid w:val="00C83A21"/>
    <w:rsid w:val="00C84069"/>
    <w:rsid w:val="00C8460A"/>
    <w:rsid w:val="00C87289"/>
    <w:rsid w:val="00C878F3"/>
    <w:rsid w:val="00C87E61"/>
    <w:rsid w:val="00C91AE5"/>
    <w:rsid w:val="00C93C04"/>
    <w:rsid w:val="00C96369"/>
    <w:rsid w:val="00CA3E73"/>
    <w:rsid w:val="00CA52DB"/>
    <w:rsid w:val="00CA5AC4"/>
    <w:rsid w:val="00CA5DCB"/>
    <w:rsid w:val="00CA6D61"/>
    <w:rsid w:val="00CA7384"/>
    <w:rsid w:val="00CA7A04"/>
    <w:rsid w:val="00CA7E67"/>
    <w:rsid w:val="00CB1605"/>
    <w:rsid w:val="00CB1C12"/>
    <w:rsid w:val="00CB20C9"/>
    <w:rsid w:val="00CB2F4F"/>
    <w:rsid w:val="00CB69AA"/>
    <w:rsid w:val="00CC333A"/>
    <w:rsid w:val="00CC41DD"/>
    <w:rsid w:val="00CC4A2F"/>
    <w:rsid w:val="00CC4A67"/>
    <w:rsid w:val="00CC5B61"/>
    <w:rsid w:val="00CC65CB"/>
    <w:rsid w:val="00CC6903"/>
    <w:rsid w:val="00CD1C0E"/>
    <w:rsid w:val="00CD1C41"/>
    <w:rsid w:val="00CD2BCB"/>
    <w:rsid w:val="00CD3709"/>
    <w:rsid w:val="00CD4ACB"/>
    <w:rsid w:val="00CD6726"/>
    <w:rsid w:val="00CD6EDC"/>
    <w:rsid w:val="00CE0020"/>
    <w:rsid w:val="00CE0DAB"/>
    <w:rsid w:val="00CE1320"/>
    <w:rsid w:val="00CE1DE8"/>
    <w:rsid w:val="00CE1F43"/>
    <w:rsid w:val="00CE51AD"/>
    <w:rsid w:val="00CE648F"/>
    <w:rsid w:val="00CE6A5F"/>
    <w:rsid w:val="00CE7768"/>
    <w:rsid w:val="00CF1732"/>
    <w:rsid w:val="00CF2527"/>
    <w:rsid w:val="00CF2916"/>
    <w:rsid w:val="00CF59F0"/>
    <w:rsid w:val="00CF6076"/>
    <w:rsid w:val="00CF6CB9"/>
    <w:rsid w:val="00CF722E"/>
    <w:rsid w:val="00CF7EDD"/>
    <w:rsid w:val="00D01562"/>
    <w:rsid w:val="00D01FC0"/>
    <w:rsid w:val="00D023CB"/>
    <w:rsid w:val="00D04DC1"/>
    <w:rsid w:val="00D060EA"/>
    <w:rsid w:val="00D06F0A"/>
    <w:rsid w:val="00D108AA"/>
    <w:rsid w:val="00D12657"/>
    <w:rsid w:val="00D1455F"/>
    <w:rsid w:val="00D151E2"/>
    <w:rsid w:val="00D15C0C"/>
    <w:rsid w:val="00D16FCC"/>
    <w:rsid w:val="00D17CBF"/>
    <w:rsid w:val="00D20154"/>
    <w:rsid w:val="00D22B98"/>
    <w:rsid w:val="00D23675"/>
    <w:rsid w:val="00D23930"/>
    <w:rsid w:val="00D24A7E"/>
    <w:rsid w:val="00D265A3"/>
    <w:rsid w:val="00D27D4F"/>
    <w:rsid w:val="00D315E0"/>
    <w:rsid w:val="00D31D8D"/>
    <w:rsid w:val="00D31FDE"/>
    <w:rsid w:val="00D329E5"/>
    <w:rsid w:val="00D32C59"/>
    <w:rsid w:val="00D34ED9"/>
    <w:rsid w:val="00D35B12"/>
    <w:rsid w:val="00D377C4"/>
    <w:rsid w:val="00D41358"/>
    <w:rsid w:val="00D41431"/>
    <w:rsid w:val="00D431BA"/>
    <w:rsid w:val="00D43815"/>
    <w:rsid w:val="00D458BB"/>
    <w:rsid w:val="00D4731C"/>
    <w:rsid w:val="00D50A72"/>
    <w:rsid w:val="00D564B0"/>
    <w:rsid w:val="00D57438"/>
    <w:rsid w:val="00D57920"/>
    <w:rsid w:val="00D57F8D"/>
    <w:rsid w:val="00D60E85"/>
    <w:rsid w:val="00D62029"/>
    <w:rsid w:val="00D6365B"/>
    <w:rsid w:val="00D63C62"/>
    <w:rsid w:val="00D6597D"/>
    <w:rsid w:val="00D7078B"/>
    <w:rsid w:val="00D707C4"/>
    <w:rsid w:val="00D71F5A"/>
    <w:rsid w:val="00D72092"/>
    <w:rsid w:val="00D749D9"/>
    <w:rsid w:val="00D76D24"/>
    <w:rsid w:val="00D77959"/>
    <w:rsid w:val="00D77DD5"/>
    <w:rsid w:val="00D82F6E"/>
    <w:rsid w:val="00D84A2A"/>
    <w:rsid w:val="00D8583C"/>
    <w:rsid w:val="00D86EDE"/>
    <w:rsid w:val="00D91137"/>
    <w:rsid w:val="00D926A3"/>
    <w:rsid w:val="00D92D4A"/>
    <w:rsid w:val="00D9461E"/>
    <w:rsid w:val="00D95A29"/>
    <w:rsid w:val="00D96B7E"/>
    <w:rsid w:val="00DA096D"/>
    <w:rsid w:val="00DA2B15"/>
    <w:rsid w:val="00DA3B81"/>
    <w:rsid w:val="00DA43C2"/>
    <w:rsid w:val="00DA4EC5"/>
    <w:rsid w:val="00DA5361"/>
    <w:rsid w:val="00DA5C29"/>
    <w:rsid w:val="00DA6288"/>
    <w:rsid w:val="00DA71F3"/>
    <w:rsid w:val="00DA7576"/>
    <w:rsid w:val="00DB04BE"/>
    <w:rsid w:val="00DB0942"/>
    <w:rsid w:val="00DB21C0"/>
    <w:rsid w:val="00DB2A19"/>
    <w:rsid w:val="00DB651A"/>
    <w:rsid w:val="00DB6FDC"/>
    <w:rsid w:val="00DB709A"/>
    <w:rsid w:val="00DB7797"/>
    <w:rsid w:val="00DC52F4"/>
    <w:rsid w:val="00DC72EE"/>
    <w:rsid w:val="00DC782B"/>
    <w:rsid w:val="00DC7D5C"/>
    <w:rsid w:val="00DD1528"/>
    <w:rsid w:val="00DD3C91"/>
    <w:rsid w:val="00DE02DE"/>
    <w:rsid w:val="00DE1CB6"/>
    <w:rsid w:val="00DE2390"/>
    <w:rsid w:val="00DE3ECA"/>
    <w:rsid w:val="00DE4D89"/>
    <w:rsid w:val="00DE5117"/>
    <w:rsid w:val="00DE6D9C"/>
    <w:rsid w:val="00DE723D"/>
    <w:rsid w:val="00DE7F57"/>
    <w:rsid w:val="00DF0973"/>
    <w:rsid w:val="00DF1529"/>
    <w:rsid w:val="00DF18BB"/>
    <w:rsid w:val="00DF30DC"/>
    <w:rsid w:val="00DF32EE"/>
    <w:rsid w:val="00DF4575"/>
    <w:rsid w:val="00DF55FB"/>
    <w:rsid w:val="00DF5773"/>
    <w:rsid w:val="00DF5929"/>
    <w:rsid w:val="00E014CA"/>
    <w:rsid w:val="00E02F17"/>
    <w:rsid w:val="00E038DB"/>
    <w:rsid w:val="00E05A8A"/>
    <w:rsid w:val="00E075DF"/>
    <w:rsid w:val="00E1094C"/>
    <w:rsid w:val="00E113D0"/>
    <w:rsid w:val="00E11712"/>
    <w:rsid w:val="00E13221"/>
    <w:rsid w:val="00E14645"/>
    <w:rsid w:val="00E14D98"/>
    <w:rsid w:val="00E163D3"/>
    <w:rsid w:val="00E204F1"/>
    <w:rsid w:val="00E21795"/>
    <w:rsid w:val="00E21DED"/>
    <w:rsid w:val="00E21E25"/>
    <w:rsid w:val="00E21F6D"/>
    <w:rsid w:val="00E2212F"/>
    <w:rsid w:val="00E230D4"/>
    <w:rsid w:val="00E24D75"/>
    <w:rsid w:val="00E26632"/>
    <w:rsid w:val="00E26EB5"/>
    <w:rsid w:val="00E26F7E"/>
    <w:rsid w:val="00E27328"/>
    <w:rsid w:val="00E27BF8"/>
    <w:rsid w:val="00E3023C"/>
    <w:rsid w:val="00E30D05"/>
    <w:rsid w:val="00E311C7"/>
    <w:rsid w:val="00E35B01"/>
    <w:rsid w:val="00E35EDB"/>
    <w:rsid w:val="00E4078D"/>
    <w:rsid w:val="00E41533"/>
    <w:rsid w:val="00E44D03"/>
    <w:rsid w:val="00E450F3"/>
    <w:rsid w:val="00E46779"/>
    <w:rsid w:val="00E47686"/>
    <w:rsid w:val="00E50D87"/>
    <w:rsid w:val="00E52D8C"/>
    <w:rsid w:val="00E55777"/>
    <w:rsid w:val="00E5578E"/>
    <w:rsid w:val="00E56E07"/>
    <w:rsid w:val="00E57701"/>
    <w:rsid w:val="00E60271"/>
    <w:rsid w:val="00E60F1F"/>
    <w:rsid w:val="00E610AB"/>
    <w:rsid w:val="00E61556"/>
    <w:rsid w:val="00E62919"/>
    <w:rsid w:val="00E62A7B"/>
    <w:rsid w:val="00E63900"/>
    <w:rsid w:val="00E64FD8"/>
    <w:rsid w:val="00E65246"/>
    <w:rsid w:val="00E6566A"/>
    <w:rsid w:val="00E65B7C"/>
    <w:rsid w:val="00E71375"/>
    <w:rsid w:val="00E71422"/>
    <w:rsid w:val="00E73518"/>
    <w:rsid w:val="00E73601"/>
    <w:rsid w:val="00E736B5"/>
    <w:rsid w:val="00E743C4"/>
    <w:rsid w:val="00E84006"/>
    <w:rsid w:val="00E84B40"/>
    <w:rsid w:val="00E85B03"/>
    <w:rsid w:val="00E85BB5"/>
    <w:rsid w:val="00E862C9"/>
    <w:rsid w:val="00E87435"/>
    <w:rsid w:val="00E9025F"/>
    <w:rsid w:val="00E92960"/>
    <w:rsid w:val="00E93499"/>
    <w:rsid w:val="00E93B47"/>
    <w:rsid w:val="00E93C60"/>
    <w:rsid w:val="00E9522F"/>
    <w:rsid w:val="00E9669A"/>
    <w:rsid w:val="00E976E0"/>
    <w:rsid w:val="00EA0863"/>
    <w:rsid w:val="00EA1A60"/>
    <w:rsid w:val="00EA1E27"/>
    <w:rsid w:val="00EA4C9F"/>
    <w:rsid w:val="00EA4EC7"/>
    <w:rsid w:val="00EA506E"/>
    <w:rsid w:val="00EA7620"/>
    <w:rsid w:val="00EA7706"/>
    <w:rsid w:val="00EB26E8"/>
    <w:rsid w:val="00EB3CAE"/>
    <w:rsid w:val="00EB45BD"/>
    <w:rsid w:val="00EC0CBB"/>
    <w:rsid w:val="00EC10A8"/>
    <w:rsid w:val="00EC189B"/>
    <w:rsid w:val="00EC195E"/>
    <w:rsid w:val="00EC29A9"/>
    <w:rsid w:val="00EC355F"/>
    <w:rsid w:val="00EC3FC4"/>
    <w:rsid w:val="00EC465F"/>
    <w:rsid w:val="00EC478E"/>
    <w:rsid w:val="00EC60B3"/>
    <w:rsid w:val="00EC7A23"/>
    <w:rsid w:val="00ED0C85"/>
    <w:rsid w:val="00ED444F"/>
    <w:rsid w:val="00ED4B40"/>
    <w:rsid w:val="00ED694A"/>
    <w:rsid w:val="00ED74D2"/>
    <w:rsid w:val="00ED75F8"/>
    <w:rsid w:val="00EE17D8"/>
    <w:rsid w:val="00EE35D6"/>
    <w:rsid w:val="00EE4EBF"/>
    <w:rsid w:val="00EE6F9C"/>
    <w:rsid w:val="00EF0393"/>
    <w:rsid w:val="00EF1BC2"/>
    <w:rsid w:val="00EF2D8F"/>
    <w:rsid w:val="00EF325B"/>
    <w:rsid w:val="00EF395A"/>
    <w:rsid w:val="00EF5861"/>
    <w:rsid w:val="00F00927"/>
    <w:rsid w:val="00F0218F"/>
    <w:rsid w:val="00F029D2"/>
    <w:rsid w:val="00F052F2"/>
    <w:rsid w:val="00F06056"/>
    <w:rsid w:val="00F0728D"/>
    <w:rsid w:val="00F0731F"/>
    <w:rsid w:val="00F07B69"/>
    <w:rsid w:val="00F102DC"/>
    <w:rsid w:val="00F11446"/>
    <w:rsid w:val="00F12FC7"/>
    <w:rsid w:val="00F14EE0"/>
    <w:rsid w:val="00F151C8"/>
    <w:rsid w:val="00F16668"/>
    <w:rsid w:val="00F16786"/>
    <w:rsid w:val="00F20D8A"/>
    <w:rsid w:val="00F24712"/>
    <w:rsid w:val="00F27EEB"/>
    <w:rsid w:val="00F31BE8"/>
    <w:rsid w:val="00F3433A"/>
    <w:rsid w:val="00F34ADB"/>
    <w:rsid w:val="00F368C5"/>
    <w:rsid w:val="00F36A54"/>
    <w:rsid w:val="00F375AE"/>
    <w:rsid w:val="00F4030E"/>
    <w:rsid w:val="00F4052B"/>
    <w:rsid w:val="00F406B3"/>
    <w:rsid w:val="00F408FF"/>
    <w:rsid w:val="00F40FB6"/>
    <w:rsid w:val="00F422A0"/>
    <w:rsid w:val="00F441F4"/>
    <w:rsid w:val="00F45224"/>
    <w:rsid w:val="00F45A16"/>
    <w:rsid w:val="00F51B24"/>
    <w:rsid w:val="00F529FB"/>
    <w:rsid w:val="00F53F82"/>
    <w:rsid w:val="00F555FE"/>
    <w:rsid w:val="00F55629"/>
    <w:rsid w:val="00F5750B"/>
    <w:rsid w:val="00F57CC8"/>
    <w:rsid w:val="00F62D06"/>
    <w:rsid w:val="00F637B6"/>
    <w:rsid w:val="00F63A5C"/>
    <w:rsid w:val="00F65AB8"/>
    <w:rsid w:val="00F66F51"/>
    <w:rsid w:val="00F71C42"/>
    <w:rsid w:val="00F724CE"/>
    <w:rsid w:val="00F73982"/>
    <w:rsid w:val="00F749A7"/>
    <w:rsid w:val="00F75512"/>
    <w:rsid w:val="00F766D9"/>
    <w:rsid w:val="00F7716F"/>
    <w:rsid w:val="00F82BA8"/>
    <w:rsid w:val="00F836A5"/>
    <w:rsid w:val="00F837E7"/>
    <w:rsid w:val="00F8462C"/>
    <w:rsid w:val="00F85800"/>
    <w:rsid w:val="00F85C04"/>
    <w:rsid w:val="00F869E9"/>
    <w:rsid w:val="00F86C4F"/>
    <w:rsid w:val="00F878D9"/>
    <w:rsid w:val="00F900EB"/>
    <w:rsid w:val="00F9199B"/>
    <w:rsid w:val="00F92C11"/>
    <w:rsid w:val="00F941BF"/>
    <w:rsid w:val="00F94396"/>
    <w:rsid w:val="00F95AB3"/>
    <w:rsid w:val="00F95B05"/>
    <w:rsid w:val="00F95D7F"/>
    <w:rsid w:val="00F973A3"/>
    <w:rsid w:val="00FA130C"/>
    <w:rsid w:val="00FA2470"/>
    <w:rsid w:val="00FA24EB"/>
    <w:rsid w:val="00FA370D"/>
    <w:rsid w:val="00FA5125"/>
    <w:rsid w:val="00FA6FCD"/>
    <w:rsid w:val="00FA7372"/>
    <w:rsid w:val="00FB0E19"/>
    <w:rsid w:val="00FB0E92"/>
    <w:rsid w:val="00FB2D3B"/>
    <w:rsid w:val="00FC18E4"/>
    <w:rsid w:val="00FC1E58"/>
    <w:rsid w:val="00FC53A2"/>
    <w:rsid w:val="00FC54A3"/>
    <w:rsid w:val="00FC5847"/>
    <w:rsid w:val="00FC7B32"/>
    <w:rsid w:val="00FD081C"/>
    <w:rsid w:val="00FD14F0"/>
    <w:rsid w:val="00FD1509"/>
    <w:rsid w:val="00FD1C07"/>
    <w:rsid w:val="00FD2358"/>
    <w:rsid w:val="00FD46A2"/>
    <w:rsid w:val="00FD4758"/>
    <w:rsid w:val="00FD5B7B"/>
    <w:rsid w:val="00FD5EAF"/>
    <w:rsid w:val="00FD62D6"/>
    <w:rsid w:val="00FE5AD7"/>
    <w:rsid w:val="00FF210F"/>
    <w:rsid w:val="00FF2C47"/>
    <w:rsid w:val="00FF438A"/>
    <w:rsid w:val="00FF5669"/>
    <w:rsid w:val="00FF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55E"/>
    <w:pPr>
      <w:widowControl w:val="0"/>
      <w:snapToGrid w:val="0"/>
      <w:jc w:val="both"/>
      <w:outlineLvl w:val="0"/>
    </w:pPr>
    <w:rPr>
      <w:rFonts w:ascii="Arial" w:hAnsi="Arial"/>
      <w:b/>
      <w:sz w:val="32"/>
      <w:szCs w:val="20"/>
    </w:rPr>
  </w:style>
  <w:style w:type="paragraph" w:styleId="Heading2">
    <w:name w:val="heading 2"/>
    <w:basedOn w:val="Normal"/>
    <w:next w:val="Normal"/>
    <w:link w:val="Heading2Char"/>
    <w:uiPriority w:val="9"/>
    <w:semiHidden/>
    <w:unhideWhenUsed/>
    <w:qFormat/>
    <w:rsid w:val="0064455E"/>
    <w:pPr>
      <w:widowControl w:val="0"/>
      <w:snapToGrid w:val="0"/>
      <w:jc w:val="center"/>
      <w:outlineLvl w:val="1"/>
    </w:pPr>
    <w:rPr>
      <w:rFonts w:ascii="Arial" w:hAnsi="Arial"/>
      <w:b/>
      <w:sz w:val="32"/>
      <w:szCs w:val="20"/>
    </w:rPr>
  </w:style>
  <w:style w:type="paragraph" w:styleId="Heading5">
    <w:name w:val="heading 5"/>
    <w:basedOn w:val="Normal"/>
    <w:next w:val="Normal"/>
    <w:link w:val="Heading5Char"/>
    <w:uiPriority w:val="9"/>
    <w:semiHidden/>
    <w:unhideWhenUsed/>
    <w:qFormat/>
    <w:rsid w:val="00ED694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94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3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5E"/>
    <w:rPr>
      <w:rFonts w:ascii="Arial" w:eastAsia="Times New Roman" w:hAnsi="Arial" w:cs="Times New Roman"/>
      <w:b/>
      <w:sz w:val="32"/>
      <w:szCs w:val="20"/>
    </w:rPr>
  </w:style>
  <w:style w:type="character" w:customStyle="1" w:styleId="Heading2Char">
    <w:name w:val="Heading 2 Char"/>
    <w:basedOn w:val="DefaultParagraphFont"/>
    <w:link w:val="Heading2"/>
    <w:uiPriority w:val="9"/>
    <w:semiHidden/>
    <w:rsid w:val="0064455E"/>
    <w:rPr>
      <w:rFonts w:ascii="Arial" w:eastAsia="Times New Roman" w:hAnsi="Arial" w:cs="Times New Roman"/>
      <w:b/>
      <w:sz w:val="32"/>
      <w:szCs w:val="20"/>
    </w:rPr>
  </w:style>
  <w:style w:type="paragraph" w:styleId="ListParagraph">
    <w:name w:val="List Paragraph"/>
    <w:basedOn w:val="Normal"/>
    <w:uiPriority w:val="34"/>
    <w:qFormat/>
    <w:rsid w:val="0064455E"/>
    <w:pPr>
      <w:ind w:left="720"/>
      <w:contextualSpacing/>
    </w:pPr>
  </w:style>
  <w:style w:type="character" w:customStyle="1" w:styleId="Heading8Char">
    <w:name w:val="Heading 8 Char"/>
    <w:basedOn w:val="DefaultParagraphFont"/>
    <w:link w:val="Heading8"/>
    <w:uiPriority w:val="9"/>
    <w:semiHidden/>
    <w:rsid w:val="003C136D"/>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semiHidden/>
    <w:rsid w:val="003C136D"/>
    <w:rPr>
      <w:sz w:val="20"/>
      <w:szCs w:val="20"/>
    </w:rPr>
  </w:style>
  <w:style w:type="character" w:customStyle="1" w:styleId="FootnoteTextChar">
    <w:name w:val="Footnote Text Char"/>
    <w:basedOn w:val="DefaultParagraphFont"/>
    <w:link w:val="FootnoteText"/>
    <w:semiHidden/>
    <w:rsid w:val="003C136D"/>
    <w:rPr>
      <w:rFonts w:ascii="Times New Roman" w:eastAsia="Times New Roman" w:hAnsi="Times New Roman" w:cs="Times New Roman"/>
      <w:sz w:val="20"/>
      <w:szCs w:val="20"/>
    </w:rPr>
  </w:style>
  <w:style w:type="character" w:styleId="FootnoteReference">
    <w:name w:val="footnote reference"/>
    <w:basedOn w:val="DefaultParagraphFont"/>
    <w:semiHidden/>
    <w:rsid w:val="003C136D"/>
    <w:rPr>
      <w:vertAlign w:val="superscript"/>
    </w:rPr>
  </w:style>
  <w:style w:type="paragraph" w:styleId="BodyTextIndent2">
    <w:name w:val="Body Text Indent 2"/>
    <w:basedOn w:val="Normal"/>
    <w:link w:val="BodyTextIndent2Char"/>
    <w:rsid w:val="00064678"/>
    <w:pPr>
      <w:ind w:left="1440"/>
      <w:jc w:val="both"/>
    </w:pPr>
    <w:rPr>
      <w:rFonts w:ascii="Arial Narrow" w:hAnsi="Arial Narrow"/>
    </w:rPr>
  </w:style>
  <w:style w:type="character" w:customStyle="1" w:styleId="BodyTextIndent2Char">
    <w:name w:val="Body Text Indent 2 Char"/>
    <w:basedOn w:val="DefaultParagraphFont"/>
    <w:link w:val="BodyTextIndent2"/>
    <w:rsid w:val="00064678"/>
    <w:rPr>
      <w:rFonts w:ascii="Arial Narrow" w:eastAsia="Times New Roman" w:hAnsi="Arial Narrow" w:cs="Times New Roman"/>
      <w:sz w:val="24"/>
      <w:szCs w:val="24"/>
    </w:rPr>
  </w:style>
  <w:style w:type="character" w:customStyle="1" w:styleId="Heading5Char">
    <w:name w:val="Heading 5 Char"/>
    <w:basedOn w:val="DefaultParagraphFont"/>
    <w:link w:val="Heading5"/>
    <w:uiPriority w:val="9"/>
    <w:semiHidden/>
    <w:rsid w:val="00ED694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D694A"/>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uiPriority w:val="99"/>
    <w:semiHidden/>
    <w:unhideWhenUsed/>
    <w:rsid w:val="00ED694A"/>
    <w:pPr>
      <w:spacing w:after="120"/>
      <w:ind w:left="360"/>
    </w:pPr>
  </w:style>
  <w:style w:type="character" w:customStyle="1" w:styleId="BodyTextIndentChar">
    <w:name w:val="Body Text Indent Char"/>
    <w:basedOn w:val="DefaultParagraphFont"/>
    <w:link w:val="BodyTextIndent"/>
    <w:uiPriority w:val="99"/>
    <w:semiHidden/>
    <w:rsid w:val="00ED694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D69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694A"/>
    <w:rPr>
      <w:rFonts w:ascii="Times New Roman" w:eastAsia="Times New Roman" w:hAnsi="Times New Roman" w:cs="Times New Roman"/>
      <w:sz w:val="16"/>
      <w:szCs w:val="16"/>
    </w:rPr>
  </w:style>
  <w:style w:type="paragraph" w:styleId="Footer">
    <w:name w:val="footer"/>
    <w:basedOn w:val="Normal"/>
    <w:link w:val="FooterChar"/>
    <w:uiPriority w:val="99"/>
    <w:rsid w:val="00ED694A"/>
    <w:pPr>
      <w:tabs>
        <w:tab w:val="center" w:pos="4320"/>
        <w:tab w:val="right" w:pos="8640"/>
      </w:tabs>
    </w:pPr>
  </w:style>
  <w:style w:type="character" w:customStyle="1" w:styleId="FooterChar">
    <w:name w:val="Footer Char"/>
    <w:basedOn w:val="DefaultParagraphFont"/>
    <w:link w:val="Footer"/>
    <w:uiPriority w:val="99"/>
    <w:rsid w:val="00ED694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7D77"/>
    <w:pPr>
      <w:tabs>
        <w:tab w:val="center" w:pos="4680"/>
        <w:tab w:val="right" w:pos="9360"/>
      </w:tabs>
    </w:pPr>
  </w:style>
  <w:style w:type="character" w:customStyle="1" w:styleId="HeaderChar">
    <w:name w:val="Header Char"/>
    <w:basedOn w:val="DefaultParagraphFont"/>
    <w:link w:val="Header"/>
    <w:uiPriority w:val="99"/>
    <w:rsid w:val="00397D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115A"/>
    <w:rPr>
      <w:rFonts w:ascii="Tahoma" w:hAnsi="Tahoma" w:cs="Tahoma"/>
      <w:sz w:val="16"/>
      <w:szCs w:val="16"/>
    </w:rPr>
  </w:style>
  <w:style w:type="character" w:customStyle="1" w:styleId="BalloonTextChar">
    <w:name w:val="Balloon Text Char"/>
    <w:basedOn w:val="DefaultParagraphFont"/>
    <w:link w:val="BalloonText"/>
    <w:uiPriority w:val="99"/>
    <w:semiHidden/>
    <w:rsid w:val="00AF11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55E"/>
    <w:pPr>
      <w:widowControl w:val="0"/>
      <w:snapToGrid w:val="0"/>
      <w:jc w:val="both"/>
      <w:outlineLvl w:val="0"/>
    </w:pPr>
    <w:rPr>
      <w:rFonts w:ascii="Arial" w:hAnsi="Arial"/>
      <w:b/>
      <w:sz w:val="32"/>
      <w:szCs w:val="20"/>
    </w:rPr>
  </w:style>
  <w:style w:type="paragraph" w:styleId="Heading2">
    <w:name w:val="heading 2"/>
    <w:basedOn w:val="Normal"/>
    <w:next w:val="Normal"/>
    <w:link w:val="Heading2Char"/>
    <w:uiPriority w:val="9"/>
    <w:semiHidden/>
    <w:unhideWhenUsed/>
    <w:qFormat/>
    <w:rsid w:val="0064455E"/>
    <w:pPr>
      <w:widowControl w:val="0"/>
      <w:snapToGrid w:val="0"/>
      <w:jc w:val="center"/>
      <w:outlineLvl w:val="1"/>
    </w:pPr>
    <w:rPr>
      <w:rFonts w:ascii="Arial" w:hAnsi="Arial"/>
      <w:b/>
      <w:sz w:val="32"/>
      <w:szCs w:val="20"/>
    </w:rPr>
  </w:style>
  <w:style w:type="paragraph" w:styleId="Heading5">
    <w:name w:val="heading 5"/>
    <w:basedOn w:val="Normal"/>
    <w:next w:val="Normal"/>
    <w:link w:val="Heading5Char"/>
    <w:uiPriority w:val="9"/>
    <w:semiHidden/>
    <w:unhideWhenUsed/>
    <w:qFormat/>
    <w:rsid w:val="00ED694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694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3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55E"/>
    <w:rPr>
      <w:rFonts w:ascii="Arial" w:eastAsia="Times New Roman" w:hAnsi="Arial" w:cs="Times New Roman"/>
      <w:b/>
      <w:sz w:val="32"/>
      <w:szCs w:val="20"/>
    </w:rPr>
  </w:style>
  <w:style w:type="character" w:customStyle="1" w:styleId="Heading2Char">
    <w:name w:val="Heading 2 Char"/>
    <w:basedOn w:val="DefaultParagraphFont"/>
    <w:link w:val="Heading2"/>
    <w:uiPriority w:val="9"/>
    <w:semiHidden/>
    <w:rsid w:val="0064455E"/>
    <w:rPr>
      <w:rFonts w:ascii="Arial" w:eastAsia="Times New Roman" w:hAnsi="Arial" w:cs="Times New Roman"/>
      <w:b/>
      <w:sz w:val="32"/>
      <w:szCs w:val="20"/>
    </w:rPr>
  </w:style>
  <w:style w:type="paragraph" w:styleId="ListParagraph">
    <w:name w:val="List Paragraph"/>
    <w:basedOn w:val="Normal"/>
    <w:uiPriority w:val="34"/>
    <w:qFormat/>
    <w:rsid w:val="0064455E"/>
    <w:pPr>
      <w:ind w:left="720"/>
      <w:contextualSpacing/>
    </w:pPr>
  </w:style>
  <w:style w:type="character" w:customStyle="1" w:styleId="Heading8Char">
    <w:name w:val="Heading 8 Char"/>
    <w:basedOn w:val="DefaultParagraphFont"/>
    <w:link w:val="Heading8"/>
    <w:uiPriority w:val="9"/>
    <w:semiHidden/>
    <w:rsid w:val="003C136D"/>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semiHidden/>
    <w:rsid w:val="003C136D"/>
    <w:rPr>
      <w:sz w:val="20"/>
      <w:szCs w:val="20"/>
    </w:rPr>
  </w:style>
  <w:style w:type="character" w:customStyle="1" w:styleId="FootnoteTextChar">
    <w:name w:val="Footnote Text Char"/>
    <w:basedOn w:val="DefaultParagraphFont"/>
    <w:link w:val="FootnoteText"/>
    <w:semiHidden/>
    <w:rsid w:val="003C136D"/>
    <w:rPr>
      <w:rFonts w:ascii="Times New Roman" w:eastAsia="Times New Roman" w:hAnsi="Times New Roman" w:cs="Times New Roman"/>
      <w:sz w:val="20"/>
      <w:szCs w:val="20"/>
    </w:rPr>
  </w:style>
  <w:style w:type="character" w:styleId="FootnoteReference">
    <w:name w:val="footnote reference"/>
    <w:basedOn w:val="DefaultParagraphFont"/>
    <w:semiHidden/>
    <w:rsid w:val="003C136D"/>
    <w:rPr>
      <w:vertAlign w:val="superscript"/>
    </w:rPr>
  </w:style>
  <w:style w:type="paragraph" w:styleId="BodyTextIndent2">
    <w:name w:val="Body Text Indent 2"/>
    <w:basedOn w:val="Normal"/>
    <w:link w:val="BodyTextIndent2Char"/>
    <w:rsid w:val="00064678"/>
    <w:pPr>
      <w:ind w:left="1440"/>
      <w:jc w:val="both"/>
    </w:pPr>
    <w:rPr>
      <w:rFonts w:ascii="Arial Narrow" w:hAnsi="Arial Narrow"/>
    </w:rPr>
  </w:style>
  <w:style w:type="character" w:customStyle="1" w:styleId="BodyTextIndent2Char">
    <w:name w:val="Body Text Indent 2 Char"/>
    <w:basedOn w:val="DefaultParagraphFont"/>
    <w:link w:val="BodyTextIndent2"/>
    <w:rsid w:val="00064678"/>
    <w:rPr>
      <w:rFonts w:ascii="Arial Narrow" w:eastAsia="Times New Roman" w:hAnsi="Arial Narrow" w:cs="Times New Roman"/>
      <w:sz w:val="24"/>
      <w:szCs w:val="24"/>
    </w:rPr>
  </w:style>
  <w:style w:type="character" w:customStyle="1" w:styleId="Heading5Char">
    <w:name w:val="Heading 5 Char"/>
    <w:basedOn w:val="DefaultParagraphFont"/>
    <w:link w:val="Heading5"/>
    <w:uiPriority w:val="9"/>
    <w:semiHidden/>
    <w:rsid w:val="00ED694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D694A"/>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uiPriority w:val="99"/>
    <w:semiHidden/>
    <w:unhideWhenUsed/>
    <w:rsid w:val="00ED694A"/>
    <w:pPr>
      <w:spacing w:after="120"/>
      <w:ind w:left="360"/>
    </w:pPr>
  </w:style>
  <w:style w:type="character" w:customStyle="1" w:styleId="BodyTextIndentChar">
    <w:name w:val="Body Text Indent Char"/>
    <w:basedOn w:val="DefaultParagraphFont"/>
    <w:link w:val="BodyTextIndent"/>
    <w:uiPriority w:val="99"/>
    <w:semiHidden/>
    <w:rsid w:val="00ED694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D69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694A"/>
    <w:rPr>
      <w:rFonts w:ascii="Times New Roman" w:eastAsia="Times New Roman" w:hAnsi="Times New Roman" w:cs="Times New Roman"/>
      <w:sz w:val="16"/>
      <w:szCs w:val="16"/>
    </w:rPr>
  </w:style>
  <w:style w:type="paragraph" w:styleId="Footer">
    <w:name w:val="footer"/>
    <w:basedOn w:val="Normal"/>
    <w:link w:val="FooterChar"/>
    <w:uiPriority w:val="99"/>
    <w:rsid w:val="00ED694A"/>
    <w:pPr>
      <w:tabs>
        <w:tab w:val="center" w:pos="4320"/>
        <w:tab w:val="right" w:pos="8640"/>
      </w:tabs>
    </w:pPr>
  </w:style>
  <w:style w:type="character" w:customStyle="1" w:styleId="FooterChar">
    <w:name w:val="Footer Char"/>
    <w:basedOn w:val="DefaultParagraphFont"/>
    <w:link w:val="Footer"/>
    <w:uiPriority w:val="99"/>
    <w:rsid w:val="00ED694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7D77"/>
    <w:pPr>
      <w:tabs>
        <w:tab w:val="center" w:pos="4680"/>
        <w:tab w:val="right" w:pos="9360"/>
      </w:tabs>
    </w:pPr>
  </w:style>
  <w:style w:type="character" w:customStyle="1" w:styleId="HeaderChar">
    <w:name w:val="Header Char"/>
    <w:basedOn w:val="DefaultParagraphFont"/>
    <w:link w:val="Header"/>
    <w:uiPriority w:val="99"/>
    <w:rsid w:val="00397D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115A"/>
    <w:rPr>
      <w:rFonts w:ascii="Tahoma" w:hAnsi="Tahoma" w:cs="Tahoma"/>
      <w:sz w:val="16"/>
      <w:szCs w:val="16"/>
    </w:rPr>
  </w:style>
  <w:style w:type="character" w:customStyle="1" w:styleId="BalloonTextChar">
    <w:name w:val="Balloon Text Char"/>
    <w:basedOn w:val="DefaultParagraphFont"/>
    <w:link w:val="BalloonText"/>
    <w:uiPriority w:val="99"/>
    <w:semiHidden/>
    <w:rsid w:val="00AF11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20551">
      <w:bodyDiv w:val="1"/>
      <w:marLeft w:val="0"/>
      <w:marRight w:val="0"/>
      <w:marTop w:val="0"/>
      <w:marBottom w:val="0"/>
      <w:divBdr>
        <w:top w:val="none" w:sz="0" w:space="0" w:color="auto"/>
        <w:left w:val="none" w:sz="0" w:space="0" w:color="auto"/>
        <w:bottom w:val="none" w:sz="0" w:space="0" w:color="auto"/>
        <w:right w:val="none" w:sz="0" w:space="0" w:color="auto"/>
      </w:divBdr>
    </w:div>
    <w:div w:id="17960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560F-401A-448F-914C-C03B49B1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6394</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Charles</dc:creator>
  <cp:lastModifiedBy>Indra Charles</cp:lastModifiedBy>
  <cp:revision>33</cp:revision>
  <cp:lastPrinted>2017-09-05T04:13:00Z</cp:lastPrinted>
  <dcterms:created xsi:type="dcterms:W3CDTF">2017-08-24T12:34:00Z</dcterms:created>
  <dcterms:modified xsi:type="dcterms:W3CDTF">2017-09-05T04:13:00Z</dcterms:modified>
</cp:coreProperties>
</file>